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1EE2" w14:textId="77777777" w:rsidR="0025703D" w:rsidRPr="0025703D" w:rsidRDefault="0025703D" w:rsidP="0025703D">
      <w:bookmarkStart w:id="0" w:name="tráfico_de_influencias_político_m_bd0036"/>
      <w:bookmarkEnd w:id="0"/>
      <w:r w:rsidRPr="0025703D">
        <w:rPr>
          <w:b/>
        </w:rPr>
        <w:t>Tráfico de Influencias Político: Metodología, Tipología y Mapa de Riesgos</w:t>
      </w:r>
    </w:p>
    <w:p w14:paraId="26BC891D" w14:textId="77777777" w:rsidR="0025703D" w:rsidRPr="0025703D" w:rsidRDefault="0025703D" w:rsidP="0025703D">
      <w:bookmarkStart w:id="1" w:name="análisis_comparado_caso_plus_ultr_5fdf48"/>
      <w:bookmarkEnd w:id="1"/>
      <w:r w:rsidRPr="0025703D">
        <w:rPr>
          <w:b/>
        </w:rPr>
        <w:t>Análisis Comparado — Caso Plus Ultra (Zapatero) y Caso Begoña Gómez</w:t>
      </w:r>
    </w:p>
    <w:p w14:paraId="29E4DC2D" w14:textId="15AB06F3" w:rsidR="0025703D" w:rsidRPr="0025703D" w:rsidRDefault="0025703D" w:rsidP="0025703D">
      <w:r w:rsidRPr="0025703D">
        <w:rPr>
          <w:i/>
        </w:rPr>
        <w:t>Informe de análisis jurídico-político. Julio 2026</w:t>
      </w:r>
      <w:r>
        <w:rPr>
          <w:i/>
        </w:rPr>
        <w:t>-GEAS-jabg</w:t>
      </w:r>
    </w:p>
    <w:p w14:paraId="4BDF7E7E" w14:textId="032BC162" w:rsidR="0025703D" w:rsidRPr="0025703D" w:rsidRDefault="0025703D" w:rsidP="0025703D">
      <w:r w:rsidRPr="0025703D">
        <w:drawing>
          <wp:inline distT="0" distB="0" distL="0" distR="0" wp14:anchorId="744A4535" wp14:editId="6BDFC8EB">
            <wp:extent cx="5400040" cy="8255"/>
            <wp:effectExtent l="0" t="0" r="0" b="0"/>
            <wp:docPr id="159727129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580480F0" w14:textId="77777777" w:rsidR="0025703D" w:rsidRPr="0025703D" w:rsidRDefault="0025703D" w:rsidP="0025703D">
      <w:bookmarkStart w:id="2" w:name="resumen_ejecutivo"/>
      <w:bookmarkEnd w:id="2"/>
      <w:r w:rsidRPr="0025703D">
        <w:rPr>
          <w:b/>
        </w:rPr>
        <w:t>Resumen Ejecutivo</w:t>
      </w:r>
    </w:p>
    <w:p w14:paraId="3FD356DF" w14:textId="77777777" w:rsidR="0025703D" w:rsidRPr="0025703D" w:rsidRDefault="0025703D" w:rsidP="0025703D">
      <w:r w:rsidRPr="0025703D">
        <w:t>El tráfico de influencias político constituye, en su modalidad más sofisticada, un mecanismo de captura sistémica del Estado que va más allá del cohecho convencional. Los casos aquí analizados —la investigación de la Audiencia Nacional sobre José Luis Rodríguez Zapatero en el llamado caso Plus Ultra, y la causa judicial contra Begoña Gómez ante los Juzgados de Plaza de Castilla— ilustran dos arquetipos diferenciados pero estructuralmente complementarios de este fenómeno en el ecosistema político español contemporáneo.</w:t>
      </w:r>
    </w:p>
    <w:p w14:paraId="29B88121" w14:textId="77777777" w:rsidR="0025703D" w:rsidRPr="0025703D" w:rsidRDefault="0025703D" w:rsidP="0025703D">
      <w:r w:rsidRPr="0025703D">
        <w:t xml:space="preserve">El caso Plus Ultra representa la arquitectura de una </w:t>
      </w:r>
      <w:r w:rsidRPr="0025703D">
        <w:rPr>
          <w:b/>
        </w:rPr>
        <w:t>red organizada y jerarquizada</w:t>
      </w:r>
      <w:r w:rsidRPr="0025703D">
        <w:t xml:space="preserve"> cuyo activo central es la influencia personal del expresidente sobre la administración pública, canalizada a través de un entramado societario opaco con ramificaciones </w:t>
      </w:r>
      <w:proofErr w:type="gramStart"/>
      <w:r w:rsidRPr="0025703D">
        <w:t>offshore</w:t>
      </w:r>
      <w:proofErr w:type="gramEnd"/>
      <w:r w:rsidRPr="0025703D">
        <w:t xml:space="preserve"> y conexión venezolana. El caso Begoña Gómez expone un modelo de </w:t>
      </w:r>
      <w:r w:rsidRPr="0025703D">
        <w:rPr>
          <w:b/>
        </w:rPr>
        <w:t>captura institucional difusa</w:t>
      </w:r>
      <w:r w:rsidRPr="0025703D">
        <w:t xml:space="preserve"> en el que el poder simbólico derivado de la proximidad al titular del Ejecutivo se convierte en instrumento de apertura de puertas ante corporaciones y organismos públicos para el desarrollo de proyectos privados —en particular, una plataforma tecnológica vinculada a una cátedra universitaria.</w:t>
      </w:r>
    </w:p>
    <w:p w14:paraId="263E99D8" w14:textId="77777777" w:rsidR="0025703D" w:rsidRPr="0025703D" w:rsidRDefault="0025703D" w:rsidP="0025703D">
      <w:r w:rsidRPr="0025703D">
        <w:t xml:space="preserve">Ambos casos convergen en un mismo punto crítico del sistema: los fondos públicos —ya sean rescates del Fondo de Apoyo a la Solvencia de Empresas Estratégicas (FASEE-SEPI) o contratos licitados con dinero europeo— actúan como el </w:t>
      </w:r>
      <w:r w:rsidRPr="0025703D">
        <w:rPr>
          <w:b/>
        </w:rPr>
        <w:t>activo sobre el que se ejerce la presión</w:t>
      </w:r>
      <w:r w:rsidRPr="0025703D">
        <w:t xml:space="preserve"> y, simultáneamente, como la </w:t>
      </w:r>
      <w:r w:rsidRPr="0025703D">
        <w:rPr>
          <w:b/>
        </w:rPr>
        <w:t>recompensa que legitima la estructura</w:t>
      </w:r>
      <w:r w:rsidRPr="0025703D">
        <w:t xml:space="preserve"> de intermediación.</w:t>
      </w:r>
    </w:p>
    <w:p w14:paraId="4AA0B88D" w14:textId="5BACE374" w:rsidR="0025703D" w:rsidRPr="0025703D" w:rsidRDefault="0025703D" w:rsidP="0025703D">
      <w:r w:rsidRPr="0025703D">
        <w:drawing>
          <wp:inline distT="0" distB="0" distL="0" distR="0" wp14:anchorId="604DE888" wp14:editId="24368C30">
            <wp:extent cx="5400040" cy="8255"/>
            <wp:effectExtent l="0" t="0" r="0" b="0"/>
            <wp:docPr id="18829511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12D4E533" w14:textId="77777777" w:rsidR="0025703D" w:rsidRPr="0025703D" w:rsidRDefault="0025703D" w:rsidP="0025703D">
      <w:bookmarkStart w:id="3" w:name="bm_1_marco_jurídico_el_delito_de_d0cfd7"/>
      <w:bookmarkEnd w:id="3"/>
      <w:r w:rsidRPr="0025703D">
        <w:rPr>
          <w:b/>
        </w:rPr>
        <w:t>1. Marco Jurídico: El Delito de Tráfico de Influencias en el Derecho Penal Español</w:t>
      </w:r>
    </w:p>
    <w:p w14:paraId="0C697F31" w14:textId="77777777" w:rsidR="0025703D" w:rsidRPr="0025703D" w:rsidRDefault="0025703D" w:rsidP="0025703D">
      <w:bookmarkStart w:id="4" w:name="bm_1_1_tipificación_en_el_código_penal"/>
      <w:bookmarkEnd w:id="4"/>
      <w:r w:rsidRPr="0025703D">
        <w:rPr>
          <w:b/>
        </w:rPr>
        <w:t>1.1 Tipificación en el Código Penal</w:t>
      </w:r>
    </w:p>
    <w:p w14:paraId="46412DFA" w14:textId="77777777" w:rsidR="0025703D" w:rsidRPr="0025703D" w:rsidRDefault="0025703D" w:rsidP="0025703D">
      <w:r w:rsidRPr="0025703D">
        <w:t>El tráfico de influencias se regula en los artículos 428 a 430 del Código Penal (CP), ubicados entre los delitos contra la Administración Pública. El bien jurídico protegido, según la doctrina mayoritaria y la jurisprudencia del Tribunal Supremo, es la objetividad e imparcialidad de la función pública, incluyendo tanto las funciones administrativas como las judiciales (</w:t>
      </w:r>
      <w:hyperlink r:id="rId6" w:history="1">
        <w:r w:rsidRPr="0025703D">
          <w:rPr>
            <w:rStyle w:val="Hipervnculo"/>
          </w:rPr>
          <w:t>Conceptos Jurídicos</w:t>
        </w:r>
      </w:hyperlink>
      <w:r w:rsidRPr="0025703D">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8"/>
        <w:gridCol w:w="1594"/>
        <w:gridCol w:w="3867"/>
        <w:gridCol w:w="2249"/>
      </w:tblGrid>
      <w:tr w:rsidR="0025703D" w:rsidRPr="0025703D" w14:paraId="1F58E51D"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4D8DABFB" w14:textId="77777777" w:rsidR="0025703D" w:rsidRPr="0025703D" w:rsidRDefault="0025703D" w:rsidP="0025703D">
            <w:r w:rsidRPr="0025703D">
              <w:t>Artículo</w:t>
            </w:r>
          </w:p>
        </w:tc>
        <w:tc>
          <w:tcPr>
            <w:tcW w:w="0" w:type="auto"/>
            <w:tcBorders>
              <w:top w:val="outset" w:sz="6" w:space="0" w:color="auto"/>
              <w:left w:val="nil"/>
              <w:bottom w:val="outset" w:sz="6" w:space="0" w:color="auto"/>
              <w:right w:val="outset" w:sz="6" w:space="0" w:color="auto"/>
            </w:tcBorders>
            <w:hideMark/>
          </w:tcPr>
          <w:p w14:paraId="4F0BA60F" w14:textId="77777777" w:rsidR="0025703D" w:rsidRPr="0025703D" w:rsidRDefault="0025703D" w:rsidP="0025703D">
            <w:r w:rsidRPr="0025703D">
              <w:t>Sujeto activo</w:t>
            </w:r>
          </w:p>
        </w:tc>
        <w:tc>
          <w:tcPr>
            <w:tcW w:w="0" w:type="auto"/>
            <w:tcBorders>
              <w:top w:val="outset" w:sz="6" w:space="0" w:color="auto"/>
              <w:left w:val="nil"/>
              <w:bottom w:val="outset" w:sz="6" w:space="0" w:color="auto"/>
              <w:right w:val="outset" w:sz="6" w:space="0" w:color="auto"/>
            </w:tcBorders>
            <w:hideMark/>
          </w:tcPr>
          <w:p w14:paraId="0CEE5A2E" w14:textId="77777777" w:rsidR="0025703D" w:rsidRPr="0025703D" w:rsidRDefault="0025703D" w:rsidP="0025703D">
            <w:r w:rsidRPr="0025703D">
              <w:t>Conducta típica</w:t>
            </w:r>
          </w:p>
        </w:tc>
        <w:tc>
          <w:tcPr>
            <w:tcW w:w="0" w:type="auto"/>
            <w:tcBorders>
              <w:top w:val="outset" w:sz="6" w:space="0" w:color="auto"/>
              <w:left w:val="nil"/>
              <w:bottom w:val="outset" w:sz="6" w:space="0" w:color="auto"/>
              <w:right w:val="outset" w:sz="6" w:space="0" w:color="auto"/>
            </w:tcBorders>
            <w:hideMark/>
          </w:tcPr>
          <w:p w14:paraId="2F064A30" w14:textId="77777777" w:rsidR="0025703D" w:rsidRPr="0025703D" w:rsidRDefault="0025703D" w:rsidP="0025703D">
            <w:r w:rsidRPr="0025703D">
              <w:t>Bien jurídico afectado</w:t>
            </w:r>
          </w:p>
        </w:tc>
      </w:tr>
      <w:tr w:rsidR="0025703D" w:rsidRPr="0025703D" w14:paraId="2AA746EF" w14:textId="77777777">
        <w:trPr>
          <w:cantSplit/>
          <w:jc w:val="center"/>
        </w:trPr>
        <w:tc>
          <w:tcPr>
            <w:tcW w:w="0" w:type="auto"/>
            <w:tcBorders>
              <w:top w:val="nil"/>
              <w:left w:val="outset" w:sz="6" w:space="0" w:color="auto"/>
              <w:bottom w:val="outset" w:sz="6" w:space="0" w:color="auto"/>
              <w:right w:val="outset" w:sz="6" w:space="0" w:color="auto"/>
            </w:tcBorders>
            <w:hideMark/>
          </w:tcPr>
          <w:p w14:paraId="305A3C90" w14:textId="77777777" w:rsidR="0025703D" w:rsidRPr="0025703D" w:rsidRDefault="0025703D" w:rsidP="0025703D">
            <w:r w:rsidRPr="0025703D">
              <w:rPr>
                <w:b/>
              </w:rPr>
              <w:t>Art. 428</w:t>
            </w:r>
          </w:p>
        </w:tc>
        <w:tc>
          <w:tcPr>
            <w:tcW w:w="0" w:type="auto"/>
            <w:tcBorders>
              <w:top w:val="nil"/>
              <w:left w:val="nil"/>
              <w:bottom w:val="outset" w:sz="6" w:space="0" w:color="auto"/>
              <w:right w:val="outset" w:sz="6" w:space="0" w:color="auto"/>
            </w:tcBorders>
            <w:hideMark/>
          </w:tcPr>
          <w:p w14:paraId="10D22E8A" w14:textId="77777777" w:rsidR="0025703D" w:rsidRPr="0025703D" w:rsidRDefault="0025703D" w:rsidP="0025703D">
            <w:r w:rsidRPr="0025703D">
              <w:t>Autoridad o funcionario público</w:t>
            </w:r>
          </w:p>
        </w:tc>
        <w:tc>
          <w:tcPr>
            <w:tcW w:w="0" w:type="auto"/>
            <w:tcBorders>
              <w:top w:val="nil"/>
              <w:left w:val="nil"/>
              <w:bottom w:val="outset" w:sz="6" w:space="0" w:color="auto"/>
              <w:right w:val="outset" w:sz="6" w:space="0" w:color="auto"/>
            </w:tcBorders>
            <w:hideMark/>
          </w:tcPr>
          <w:p w14:paraId="6A502FE2" w14:textId="77777777" w:rsidR="0025703D" w:rsidRPr="0025703D" w:rsidRDefault="0025703D" w:rsidP="0025703D">
            <w:r w:rsidRPr="0025703D">
              <w:t>Influir en otro funcionario prevaliéndose de las facultades del cargo o de cualquier relación personal o jerárquica</w:t>
            </w:r>
          </w:p>
        </w:tc>
        <w:tc>
          <w:tcPr>
            <w:tcW w:w="0" w:type="auto"/>
            <w:tcBorders>
              <w:top w:val="nil"/>
              <w:left w:val="nil"/>
              <w:bottom w:val="outset" w:sz="6" w:space="0" w:color="auto"/>
              <w:right w:val="outset" w:sz="6" w:space="0" w:color="auto"/>
            </w:tcBorders>
            <w:hideMark/>
          </w:tcPr>
          <w:p w14:paraId="2149E372" w14:textId="77777777" w:rsidR="0025703D" w:rsidRPr="0025703D" w:rsidRDefault="0025703D" w:rsidP="0025703D">
            <w:r w:rsidRPr="0025703D">
              <w:t>Imparcialidad de la función pública</w:t>
            </w:r>
          </w:p>
        </w:tc>
      </w:tr>
      <w:tr w:rsidR="0025703D" w:rsidRPr="0025703D" w14:paraId="01E8862F" w14:textId="77777777">
        <w:trPr>
          <w:cantSplit/>
          <w:jc w:val="center"/>
        </w:trPr>
        <w:tc>
          <w:tcPr>
            <w:tcW w:w="0" w:type="auto"/>
            <w:tcBorders>
              <w:top w:val="nil"/>
              <w:left w:val="outset" w:sz="6" w:space="0" w:color="auto"/>
              <w:bottom w:val="outset" w:sz="6" w:space="0" w:color="auto"/>
              <w:right w:val="outset" w:sz="6" w:space="0" w:color="auto"/>
            </w:tcBorders>
            <w:hideMark/>
          </w:tcPr>
          <w:p w14:paraId="6E591357" w14:textId="77777777" w:rsidR="0025703D" w:rsidRPr="0025703D" w:rsidRDefault="0025703D" w:rsidP="0025703D">
            <w:r w:rsidRPr="0025703D">
              <w:rPr>
                <w:b/>
              </w:rPr>
              <w:lastRenderedPageBreak/>
              <w:t>Art. 429</w:t>
            </w:r>
          </w:p>
        </w:tc>
        <w:tc>
          <w:tcPr>
            <w:tcW w:w="0" w:type="auto"/>
            <w:tcBorders>
              <w:top w:val="nil"/>
              <w:left w:val="nil"/>
              <w:bottom w:val="outset" w:sz="6" w:space="0" w:color="auto"/>
              <w:right w:val="outset" w:sz="6" w:space="0" w:color="auto"/>
            </w:tcBorders>
            <w:hideMark/>
          </w:tcPr>
          <w:p w14:paraId="6A47EC9C" w14:textId="77777777" w:rsidR="0025703D" w:rsidRPr="0025703D" w:rsidRDefault="0025703D" w:rsidP="0025703D">
            <w:r w:rsidRPr="0025703D">
              <w:t>Particular</w:t>
            </w:r>
          </w:p>
        </w:tc>
        <w:tc>
          <w:tcPr>
            <w:tcW w:w="0" w:type="auto"/>
            <w:tcBorders>
              <w:top w:val="nil"/>
              <w:left w:val="nil"/>
              <w:bottom w:val="outset" w:sz="6" w:space="0" w:color="auto"/>
              <w:right w:val="outset" w:sz="6" w:space="0" w:color="auto"/>
            </w:tcBorders>
            <w:hideMark/>
          </w:tcPr>
          <w:p w14:paraId="644D0E30" w14:textId="77777777" w:rsidR="0025703D" w:rsidRPr="0025703D" w:rsidRDefault="0025703D" w:rsidP="0025703D">
            <w:r w:rsidRPr="0025703D">
              <w:t>Influir en una autoridad o funcionario prevaliéndose de cualquier situación derivada de su relación personal</w:t>
            </w:r>
          </w:p>
        </w:tc>
        <w:tc>
          <w:tcPr>
            <w:tcW w:w="0" w:type="auto"/>
            <w:tcBorders>
              <w:top w:val="nil"/>
              <w:left w:val="nil"/>
              <w:bottom w:val="outset" w:sz="6" w:space="0" w:color="auto"/>
              <w:right w:val="outset" w:sz="6" w:space="0" w:color="auto"/>
            </w:tcBorders>
            <w:hideMark/>
          </w:tcPr>
          <w:p w14:paraId="7B262864" w14:textId="77777777" w:rsidR="0025703D" w:rsidRPr="0025703D" w:rsidRDefault="0025703D" w:rsidP="0025703D">
            <w:r w:rsidRPr="0025703D">
              <w:t>Imparcialidad y objetividad de la Administración</w:t>
            </w:r>
          </w:p>
        </w:tc>
      </w:tr>
      <w:tr w:rsidR="0025703D" w:rsidRPr="0025703D" w14:paraId="7D3E31A8" w14:textId="77777777">
        <w:trPr>
          <w:cantSplit/>
          <w:jc w:val="center"/>
        </w:trPr>
        <w:tc>
          <w:tcPr>
            <w:tcW w:w="0" w:type="auto"/>
            <w:tcBorders>
              <w:top w:val="nil"/>
              <w:left w:val="outset" w:sz="6" w:space="0" w:color="auto"/>
              <w:bottom w:val="outset" w:sz="6" w:space="0" w:color="auto"/>
              <w:right w:val="outset" w:sz="6" w:space="0" w:color="auto"/>
            </w:tcBorders>
            <w:hideMark/>
          </w:tcPr>
          <w:p w14:paraId="5070644F" w14:textId="77777777" w:rsidR="0025703D" w:rsidRPr="0025703D" w:rsidRDefault="0025703D" w:rsidP="0025703D">
            <w:r w:rsidRPr="0025703D">
              <w:rPr>
                <w:b/>
              </w:rPr>
              <w:t>Art. 430</w:t>
            </w:r>
          </w:p>
        </w:tc>
        <w:tc>
          <w:tcPr>
            <w:tcW w:w="0" w:type="auto"/>
            <w:tcBorders>
              <w:top w:val="nil"/>
              <w:left w:val="nil"/>
              <w:bottom w:val="outset" w:sz="6" w:space="0" w:color="auto"/>
              <w:right w:val="outset" w:sz="6" w:space="0" w:color="auto"/>
            </w:tcBorders>
            <w:hideMark/>
          </w:tcPr>
          <w:p w14:paraId="02C4FD20" w14:textId="77777777" w:rsidR="0025703D" w:rsidRPr="0025703D" w:rsidRDefault="0025703D" w:rsidP="0025703D">
            <w:r w:rsidRPr="0025703D">
              <w:t>Cualquiera</w:t>
            </w:r>
          </w:p>
        </w:tc>
        <w:tc>
          <w:tcPr>
            <w:tcW w:w="0" w:type="auto"/>
            <w:tcBorders>
              <w:top w:val="nil"/>
              <w:left w:val="nil"/>
              <w:bottom w:val="outset" w:sz="6" w:space="0" w:color="auto"/>
              <w:right w:val="outset" w:sz="6" w:space="0" w:color="auto"/>
            </w:tcBorders>
            <w:hideMark/>
          </w:tcPr>
          <w:p w14:paraId="5A2F779C" w14:textId="77777777" w:rsidR="0025703D" w:rsidRPr="0025703D" w:rsidRDefault="0025703D" w:rsidP="0025703D">
            <w:r w:rsidRPr="0025703D">
              <w:t>Ofrecer influencias (venta de influencias): arrogarse la capacidad de ejercer influencia a cambio de dádivas o promesas</w:t>
            </w:r>
          </w:p>
        </w:tc>
        <w:tc>
          <w:tcPr>
            <w:tcW w:w="0" w:type="auto"/>
            <w:tcBorders>
              <w:top w:val="nil"/>
              <w:left w:val="nil"/>
              <w:bottom w:val="outset" w:sz="6" w:space="0" w:color="auto"/>
              <w:right w:val="outset" w:sz="6" w:space="0" w:color="auto"/>
            </w:tcBorders>
            <w:hideMark/>
          </w:tcPr>
          <w:p w14:paraId="6A0C8459" w14:textId="77777777" w:rsidR="0025703D" w:rsidRPr="0025703D" w:rsidRDefault="0025703D" w:rsidP="0025703D">
            <w:r w:rsidRPr="0025703D">
              <w:t>Imagen institucional y confianza pública</w:t>
            </w:r>
          </w:p>
        </w:tc>
      </w:tr>
    </w:tbl>
    <w:p w14:paraId="5603E660" w14:textId="77777777" w:rsidR="0025703D" w:rsidRPr="0025703D" w:rsidRDefault="0025703D" w:rsidP="0025703D">
      <w:r w:rsidRPr="0025703D">
        <w:t xml:space="preserve"> </w:t>
      </w:r>
    </w:p>
    <w:p w14:paraId="6EA9E3E3" w14:textId="77777777" w:rsidR="0025703D" w:rsidRPr="0025703D" w:rsidRDefault="0025703D" w:rsidP="0025703D">
      <w:bookmarkStart w:id="5" w:name="bm_1_2_elementos_típicos_estructu_da1430"/>
      <w:bookmarkEnd w:id="5"/>
      <w:r w:rsidRPr="0025703D">
        <w:rPr>
          <w:b/>
        </w:rPr>
        <w:t>1.2 Elementos Típicos: Estructura del Delito</w:t>
      </w:r>
    </w:p>
    <w:p w14:paraId="069874B4" w14:textId="77777777" w:rsidR="0025703D" w:rsidRPr="0025703D" w:rsidRDefault="0025703D" w:rsidP="0025703D">
      <w:r w:rsidRPr="0025703D">
        <w:t xml:space="preserve">La consumación del delito no requiere que se materialice el resultado —basta con el ejercicio de la influencia—. El tipo penal se configura como </w:t>
      </w:r>
      <w:r w:rsidRPr="0025703D">
        <w:rPr>
          <w:b/>
        </w:rPr>
        <w:t>delito de mera actividad</w:t>
      </w:r>
      <w:r w:rsidRPr="0025703D">
        <w:t>, lo que tiene consecuencias probatorias de primer orden (</w:t>
      </w:r>
      <w:hyperlink r:id="rId7" w:history="1">
        <w:r w:rsidRPr="0025703D">
          <w:rPr>
            <w:rStyle w:val="Hipervnculo"/>
          </w:rPr>
          <w:t>Revista UC3M, "Delito de Tráfico de Influencias"</w:t>
        </w:r>
      </w:hyperlink>
      <w:r w:rsidRPr="0025703D">
        <w:t>):</w:t>
      </w:r>
    </w:p>
    <w:p w14:paraId="21C1CCF9" w14:textId="77777777" w:rsidR="0025703D" w:rsidRPr="0025703D" w:rsidRDefault="0025703D" w:rsidP="0025703D">
      <w:r w:rsidRPr="0025703D">
        <w:rPr>
          <w:b/>
        </w:rPr>
        <w:t>Elementos objetivos:</w:t>
      </w:r>
    </w:p>
    <w:p w14:paraId="22E12D0C" w14:textId="77777777" w:rsidR="0025703D" w:rsidRPr="0025703D" w:rsidRDefault="0025703D" w:rsidP="0025703D">
      <w:pPr>
        <w:numPr>
          <w:ilvl w:val="0"/>
          <w:numId w:val="1"/>
        </w:numPr>
        <w:tabs>
          <w:tab w:val="clear" w:pos="0"/>
          <w:tab w:val="clear" w:pos="675"/>
        </w:tabs>
      </w:pPr>
      <w:r w:rsidRPr="0025703D">
        <w:t>Existencia de una influencia efectiva o razonablemente ejecutable sobre un funcionario o autoridad</w:t>
      </w:r>
    </w:p>
    <w:p w14:paraId="3389EEDD" w14:textId="77777777" w:rsidR="0025703D" w:rsidRPr="0025703D" w:rsidRDefault="0025703D" w:rsidP="0025703D">
      <w:pPr>
        <w:numPr>
          <w:ilvl w:val="0"/>
          <w:numId w:val="1"/>
        </w:numPr>
        <w:tabs>
          <w:tab w:val="clear" w:pos="0"/>
          <w:tab w:val="clear" w:pos="675"/>
        </w:tabs>
      </w:pPr>
      <w:r w:rsidRPr="0025703D">
        <w:t>Prevalimiento: la influencia debe derivar del cargo, de la relación personal o de la posición institucional del sujeto activo</w:t>
      </w:r>
    </w:p>
    <w:p w14:paraId="4D9D7564" w14:textId="77777777" w:rsidR="0025703D" w:rsidRPr="0025703D" w:rsidRDefault="0025703D" w:rsidP="0025703D">
      <w:pPr>
        <w:numPr>
          <w:ilvl w:val="0"/>
          <w:numId w:val="1"/>
        </w:numPr>
        <w:tabs>
          <w:tab w:val="clear" w:pos="0"/>
          <w:tab w:val="clear" w:pos="675"/>
        </w:tabs>
      </w:pPr>
      <w:r w:rsidRPr="0025703D">
        <w:t xml:space="preserve">Orientación hacia una </w:t>
      </w:r>
      <w:r w:rsidRPr="0025703D">
        <w:rPr>
          <w:b/>
        </w:rPr>
        <w:t>resolución concreta</w:t>
      </w:r>
      <w:r w:rsidRPr="0025703D">
        <w:t xml:space="preserve"> de fondo, no mera expectativa indeterminada</w:t>
      </w:r>
    </w:p>
    <w:p w14:paraId="2CAD66C1" w14:textId="77777777" w:rsidR="0025703D" w:rsidRPr="0025703D" w:rsidRDefault="0025703D" w:rsidP="0025703D">
      <w:pPr>
        <w:numPr>
          <w:ilvl w:val="0"/>
          <w:numId w:val="1"/>
        </w:numPr>
        <w:tabs>
          <w:tab w:val="clear" w:pos="0"/>
          <w:tab w:val="clear" w:pos="675"/>
        </w:tabs>
      </w:pPr>
      <w:r w:rsidRPr="0025703D">
        <w:t>El beneficio económico —para sí o para un tercero— puede ser directo o indirecto</w:t>
      </w:r>
    </w:p>
    <w:p w14:paraId="134BC365" w14:textId="77777777" w:rsidR="0025703D" w:rsidRPr="0025703D" w:rsidRDefault="0025703D" w:rsidP="0025703D">
      <w:pPr>
        <w:numPr>
          <w:ilvl w:val="0"/>
          <w:numId w:val="1"/>
        </w:numPr>
        <w:tabs>
          <w:tab w:val="clear" w:pos="0"/>
          <w:tab w:val="clear" w:pos="675"/>
        </w:tabs>
      </w:pPr>
      <w:r w:rsidRPr="0025703D">
        <w:t xml:space="preserve">Admite la modalidad de </w:t>
      </w:r>
      <w:r w:rsidRPr="0025703D">
        <w:rPr>
          <w:b/>
        </w:rPr>
        <w:t>tráfico en cadena</w:t>
      </w:r>
      <w:r w:rsidRPr="0025703D">
        <w:t>: basta que la presión se ejerza sobre un intermediario que tenga capacidad real de influir en el decisor final</w:t>
      </w:r>
    </w:p>
    <w:p w14:paraId="5C93C5E4" w14:textId="77777777" w:rsidR="0025703D" w:rsidRPr="0025703D" w:rsidRDefault="0025703D" w:rsidP="0025703D">
      <w:r w:rsidRPr="0025703D">
        <w:rPr>
          <w:b/>
        </w:rPr>
        <w:t>Elementos subjetivos:</w:t>
      </w:r>
    </w:p>
    <w:p w14:paraId="2C1BB19E" w14:textId="77777777" w:rsidR="0025703D" w:rsidRPr="0025703D" w:rsidRDefault="0025703D" w:rsidP="0025703D">
      <w:pPr>
        <w:numPr>
          <w:ilvl w:val="0"/>
          <w:numId w:val="2"/>
        </w:numPr>
        <w:tabs>
          <w:tab w:val="clear" w:pos="0"/>
          <w:tab w:val="clear" w:pos="675"/>
        </w:tabs>
      </w:pPr>
      <w:r w:rsidRPr="0025703D">
        <w:t>Dolo directo de primer grado: el sujeto debe saber que puede influir y querer hacerlo con el fin de obtener una resolución favorable</w:t>
      </w:r>
    </w:p>
    <w:p w14:paraId="3D79C28E" w14:textId="77777777" w:rsidR="0025703D" w:rsidRPr="0025703D" w:rsidRDefault="0025703D" w:rsidP="0025703D">
      <w:pPr>
        <w:numPr>
          <w:ilvl w:val="0"/>
          <w:numId w:val="2"/>
        </w:numPr>
        <w:tabs>
          <w:tab w:val="clear" w:pos="0"/>
          <w:tab w:val="clear" w:pos="675"/>
        </w:tabs>
      </w:pPr>
      <w:r w:rsidRPr="0025703D">
        <w:t>No cabe la comisión por imprudencia</w:t>
      </w:r>
    </w:p>
    <w:p w14:paraId="0329985B" w14:textId="77777777" w:rsidR="0025703D" w:rsidRPr="0025703D" w:rsidRDefault="0025703D" w:rsidP="0025703D">
      <w:pPr>
        <w:numPr>
          <w:ilvl w:val="0"/>
          <w:numId w:val="2"/>
        </w:numPr>
        <w:tabs>
          <w:tab w:val="clear" w:pos="0"/>
          <w:tab w:val="clear" w:pos="675"/>
        </w:tabs>
      </w:pPr>
      <w:r w:rsidRPr="0025703D">
        <w:t>No es necesario que la resolución finalmente se adopte para que el delito quede consumado</w:t>
      </w:r>
    </w:p>
    <w:p w14:paraId="6DC69B92" w14:textId="77777777" w:rsidR="0025703D" w:rsidRPr="0025703D" w:rsidRDefault="0025703D" w:rsidP="0025703D">
      <w:bookmarkStart w:id="6" w:name="bm_1_3_régimen_punitivo"/>
      <w:bookmarkEnd w:id="6"/>
      <w:r w:rsidRPr="0025703D">
        <w:rPr>
          <w:b/>
        </w:rPr>
        <w:t>1.3 Régimen Punitivo</w:t>
      </w:r>
    </w:p>
    <w:tbl>
      <w:tblPr>
        <w:tblW w:w="0" w:type="auto"/>
        <w:jc w:val="center"/>
        <w:tblCellMar>
          <w:top w:w="15" w:type="dxa"/>
          <w:left w:w="15" w:type="dxa"/>
          <w:bottom w:w="15" w:type="dxa"/>
          <w:right w:w="15" w:type="dxa"/>
        </w:tblCellMar>
        <w:tblLook w:val="04A0" w:firstRow="1" w:lastRow="0" w:firstColumn="1" w:lastColumn="0" w:noHBand="0" w:noVBand="1"/>
      </w:tblPr>
      <w:tblGrid>
        <w:gridCol w:w="2277"/>
        <w:gridCol w:w="2730"/>
        <w:gridCol w:w="3481"/>
      </w:tblGrid>
      <w:tr w:rsidR="0025703D" w:rsidRPr="0025703D" w14:paraId="3E7473F2"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774B18F0" w14:textId="77777777" w:rsidR="0025703D" w:rsidRPr="0025703D" w:rsidRDefault="0025703D" w:rsidP="0025703D">
            <w:r w:rsidRPr="0025703D">
              <w:t>Supuesto</w:t>
            </w:r>
          </w:p>
        </w:tc>
        <w:tc>
          <w:tcPr>
            <w:tcW w:w="0" w:type="auto"/>
            <w:tcBorders>
              <w:top w:val="outset" w:sz="6" w:space="0" w:color="auto"/>
              <w:left w:val="nil"/>
              <w:bottom w:val="outset" w:sz="6" w:space="0" w:color="auto"/>
              <w:right w:val="outset" w:sz="6" w:space="0" w:color="auto"/>
            </w:tcBorders>
            <w:hideMark/>
          </w:tcPr>
          <w:p w14:paraId="1708AB7F" w14:textId="77777777" w:rsidR="0025703D" w:rsidRPr="0025703D" w:rsidRDefault="0025703D" w:rsidP="0025703D">
            <w:r w:rsidRPr="0025703D">
              <w:t>Pena de prisión</w:t>
            </w:r>
          </w:p>
        </w:tc>
        <w:tc>
          <w:tcPr>
            <w:tcW w:w="0" w:type="auto"/>
            <w:tcBorders>
              <w:top w:val="outset" w:sz="6" w:space="0" w:color="auto"/>
              <w:left w:val="nil"/>
              <w:bottom w:val="outset" w:sz="6" w:space="0" w:color="auto"/>
              <w:right w:val="outset" w:sz="6" w:space="0" w:color="auto"/>
            </w:tcBorders>
            <w:hideMark/>
          </w:tcPr>
          <w:p w14:paraId="42A7E7CD" w14:textId="77777777" w:rsidR="0025703D" w:rsidRPr="0025703D" w:rsidRDefault="0025703D" w:rsidP="0025703D">
            <w:r w:rsidRPr="0025703D">
              <w:t>Otras consecuencias</w:t>
            </w:r>
          </w:p>
        </w:tc>
      </w:tr>
      <w:tr w:rsidR="0025703D" w:rsidRPr="0025703D" w14:paraId="1150A3E4" w14:textId="77777777">
        <w:trPr>
          <w:cantSplit/>
          <w:jc w:val="center"/>
        </w:trPr>
        <w:tc>
          <w:tcPr>
            <w:tcW w:w="0" w:type="auto"/>
            <w:tcBorders>
              <w:top w:val="nil"/>
              <w:left w:val="outset" w:sz="6" w:space="0" w:color="auto"/>
              <w:bottom w:val="outset" w:sz="6" w:space="0" w:color="auto"/>
              <w:right w:val="outset" w:sz="6" w:space="0" w:color="auto"/>
            </w:tcBorders>
            <w:hideMark/>
          </w:tcPr>
          <w:p w14:paraId="1490E7E7" w14:textId="77777777" w:rsidR="0025703D" w:rsidRPr="0025703D" w:rsidRDefault="0025703D" w:rsidP="0025703D">
            <w:r w:rsidRPr="0025703D">
              <w:t>Tipo básico (art. 428 y 429)</w:t>
            </w:r>
          </w:p>
        </w:tc>
        <w:tc>
          <w:tcPr>
            <w:tcW w:w="0" w:type="auto"/>
            <w:tcBorders>
              <w:top w:val="nil"/>
              <w:left w:val="nil"/>
              <w:bottom w:val="outset" w:sz="6" w:space="0" w:color="auto"/>
              <w:right w:val="outset" w:sz="6" w:space="0" w:color="auto"/>
            </w:tcBorders>
            <w:hideMark/>
          </w:tcPr>
          <w:p w14:paraId="161D4C5B" w14:textId="77777777" w:rsidR="0025703D" w:rsidRPr="0025703D" w:rsidRDefault="0025703D" w:rsidP="0025703D">
            <w:r w:rsidRPr="0025703D">
              <w:t>6 meses a 2 años</w:t>
            </w:r>
          </w:p>
        </w:tc>
        <w:tc>
          <w:tcPr>
            <w:tcW w:w="0" w:type="auto"/>
            <w:tcBorders>
              <w:top w:val="nil"/>
              <w:left w:val="nil"/>
              <w:bottom w:val="outset" w:sz="6" w:space="0" w:color="auto"/>
              <w:right w:val="outset" w:sz="6" w:space="0" w:color="auto"/>
            </w:tcBorders>
            <w:hideMark/>
          </w:tcPr>
          <w:p w14:paraId="7D0704D0" w14:textId="77777777" w:rsidR="0025703D" w:rsidRPr="0025703D" w:rsidRDefault="0025703D" w:rsidP="0025703D">
            <w:r w:rsidRPr="0025703D">
              <w:t>Multa del tanto al duplo del beneficio perseguido u obtenido</w:t>
            </w:r>
          </w:p>
        </w:tc>
      </w:tr>
      <w:tr w:rsidR="0025703D" w:rsidRPr="0025703D" w14:paraId="61157F69" w14:textId="77777777">
        <w:trPr>
          <w:cantSplit/>
          <w:jc w:val="center"/>
        </w:trPr>
        <w:tc>
          <w:tcPr>
            <w:tcW w:w="0" w:type="auto"/>
            <w:tcBorders>
              <w:top w:val="nil"/>
              <w:left w:val="outset" w:sz="6" w:space="0" w:color="auto"/>
              <w:bottom w:val="outset" w:sz="6" w:space="0" w:color="auto"/>
              <w:right w:val="outset" w:sz="6" w:space="0" w:color="auto"/>
            </w:tcBorders>
            <w:hideMark/>
          </w:tcPr>
          <w:p w14:paraId="5DAC0CE9" w14:textId="77777777" w:rsidR="0025703D" w:rsidRPr="0025703D" w:rsidRDefault="0025703D" w:rsidP="0025703D">
            <w:r w:rsidRPr="0025703D">
              <w:t>Con obtención del beneficio</w:t>
            </w:r>
          </w:p>
        </w:tc>
        <w:tc>
          <w:tcPr>
            <w:tcW w:w="0" w:type="auto"/>
            <w:tcBorders>
              <w:top w:val="nil"/>
              <w:left w:val="nil"/>
              <w:bottom w:val="outset" w:sz="6" w:space="0" w:color="auto"/>
              <w:right w:val="outset" w:sz="6" w:space="0" w:color="auto"/>
            </w:tcBorders>
            <w:hideMark/>
          </w:tcPr>
          <w:p w14:paraId="2C78317E" w14:textId="77777777" w:rsidR="0025703D" w:rsidRPr="0025703D" w:rsidRDefault="0025703D" w:rsidP="0025703D">
            <w:r w:rsidRPr="0025703D">
              <w:t>Pena en su mitad superior</w:t>
            </w:r>
          </w:p>
        </w:tc>
        <w:tc>
          <w:tcPr>
            <w:tcW w:w="0" w:type="auto"/>
            <w:tcBorders>
              <w:top w:val="nil"/>
              <w:left w:val="nil"/>
              <w:bottom w:val="outset" w:sz="6" w:space="0" w:color="auto"/>
              <w:right w:val="outset" w:sz="6" w:space="0" w:color="auto"/>
            </w:tcBorders>
            <w:hideMark/>
          </w:tcPr>
          <w:p w14:paraId="1A0F895D" w14:textId="77777777" w:rsidR="0025703D" w:rsidRPr="0025703D" w:rsidRDefault="0025703D" w:rsidP="0025703D">
            <w:r w:rsidRPr="0025703D">
              <w:t>—</w:t>
            </w:r>
          </w:p>
        </w:tc>
      </w:tr>
      <w:tr w:rsidR="0025703D" w:rsidRPr="0025703D" w14:paraId="71C5576A" w14:textId="77777777">
        <w:trPr>
          <w:cantSplit/>
          <w:jc w:val="center"/>
        </w:trPr>
        <w:tc>
          <w:tcPr>
            <w:tcW w:w="0" w:type="auto"/>
            <w:tcBorders>
              <w:top w:val="nil"/>
              <w:left w:val="outset" w:sz="6" w:space="0" w:color="auto"/>
              <w:bottom w:val="outset" w:sz="6" w:space="0" w:color="auto"/>
              <w:right w:val="outset" w:sz="6" w:space="0" w:color="auto"/>
            </w:tcBorders>
            <w:hideMark/>
          </w:tcPr>
          <w:p w14:paraId="10C5DC0E" w14:textId="77777777" w:rsidR="0025703D" w:rsidRPr="0025703D" w:rsidRDefault="0025703D" w:rsidP="0025703D">
            <w:r w:rsidRPr="0025703D">
              <w:lastRenderedPageBreak/>
              <w:t>Sujeto activo funcionario (art. 428)</w:t>
            </w:r>
          </w:p>
        </w:tc>
        <w:tc>
          <w:tcPr>
            <w:tcW w:w="0" w:type="auto"/>
            <w:tcBorders>
              <w:top w:val="nil"/>
              <w:left w:val="nil"/>
              <w:bottom w:val="outset" w:sz="6" w:space="0" w:color="auto"/>
              <w:right w:val="outset" w:sz="6" w:space="0" w:color="auto"/>
            </w:tcBorders>
            <w:hideMark/>
          </w:tcPr>
          <w:p w14:paraId="1197B0B3" w14:textId="77777777" w:rsidR="0025703D" w:rsidRPr="0025703D" w:rsidRDefault="0025703D" w:rsidP="0025703D">
            <w:r w:rsidRPr="0025703D">
              <w:t>+ Inhabilitación especial</w:t>
            </w:r>
          </w:p>
        </w:tc>
        <w:tc>
          <w:tcPr>
            <w:tcW w:w="0" w:type="auto"/>
            <w:tcBorders>
              <w:top w:val="nil"/>
              <w:left w:val="nil"/>
              <w:bottom w:val="outset" w:sz="6" w:space="0" w:color="auto"/>
              <w:right w:val="outset" w:sz="6" w:space="0" w:color="auto"/>
            </w:tcBorders>
            <w:hideMark/>
          </w:tcPr>
          <w:p w14:paraId="03626B91" w14:textId="77777777" w:rsidR="0025703D" w:rsidRPr="0025703D" w:rsidRDefault="0025703D" w:rsidP="0025703D">
            <w:r w:rsidRPr="0025703D">
              <w:t>Para cargo público y sufragio pasivo: 5 a 9 años</w:t>
            </w:r>
          </w:p>
        </w:tc>
      </w:tr>
      <w:tr w:rsidR="0025703D" w:rsidRPr="0025703D" w14:paraId="3F2CA7FB" w14:textId="77777777">
        <w:trPr>
          <w:cantSplit/>
          <w:jc w:val="center"/>
        </w:trPr>
        <w:tc>
          <w:tcPr>
            <w:tcW w:w="0" w:type="auto"/>
            <w:tcBorders>
              <w:top w:val="nil"/>
              <w:left w:val="outset" w:sz="6" w:space="0" w:color="auto"/>
              <w:bottom w:val="outset" w:sz="6" w:space="0" w:color="auto"/>
              <w:right w:val="outset" w:sz="6" w:space="0" w:color="auto"/>
            </w:tcBorders>
            <w:hideMark/>
          </w:tcPr>
          <w:p w14:paraId="3AB7711F" w14:textId="77777777" w:rsidR="0025703D" w:rsidRPr="0025703D" w:rsidRDefault="0025703D" w:rsidP="0025703D">
            <w:r w:rsidRPr="0025703D">
              <w:t>Sujeto activo particular (art. 429)</w:t>
            </w:r>
          </w:p>
        </w:tc>
        <w:tc>
          <w:tcPr>
            <w:tcW w:w="0" w:type="auto"/>
            <w:tcBorders>
              <w:top w:val="nil"/>
              <w:left w:val="nil"/>
              <w:bottom w:val="outset" w:sz="6" w:space="0" w:color="auto"/>
              <w:right w:val="outset" w:sz="6" w:space="0" w:color="auto"/>
            </w:tcBorders>
            <w:hideMark/>
          </w:tcPr>
          <w:p w14:paraId="2A7B9698" w14:textId="77777777" w:rsidR="0025703D" w:rsidRPr="0025703D" w:rsidRDefault="0025703D" w:rsidP="0025703D">
            <w:r w:rsidRPr="0025703D">
              <w:t>+ Prohibición de contratar con sector público</w:t>
            </w:r>
          </w:p>
        </w:tc>
        <w:tc>
          <w:tcPr>
            <w:tcW w:w="0" w:type="auto"/>
            <w:tcBorders>
              <w:top w:val="nil"/>
              <w:left w:val="nil"/>
              <w:bottom w:val="outset" w:sz="6" w:space="0" w:color="auto"/>
              <w:right w:val="outset" w:sz="6" w:space="0" w:color="auto"/>
            </w:tcBorders>
            <w:hideMark/>
          </w:tcPr>
          <w:p w14:paraId="624D0102" w14:textId="77777777" w:rsidR="0025703D" w:rsidRPr="0025703D" w:rsidRDefault="0025703D" w:rsidP="0025703D">
            <w:r w:rsidRPr="0025703D">
              <w:t>Pérdida de subvenciones y beneficios fiscales: 6 a 10 años</w:t>
            </w:r>
          </w:p>
        </w:tc>
      </w:tr>
      <w:tr w:rsidR="0025703D" w:rsidRPr="0025703D" w14:paraId="0493EC6A" w14:textId="77777777">
        <w:trPr>
          <w:cantSplit/>
          <w:jc w:val="center"/>
        </w:trPr>
        <w:tc>
          <w:tcPr>
            <w:tcW w:w="0" w:type="auto"/>
            <w:tcBorders>
              <w:top w:val="nil"/>
              <w:left w:val="outset" w:sz="6" w:space="0" w:color="auto"/>
              <w:bottom w:val="outset" w:sz="6" w:space="0" w:color="auto"/>
              <w:right w:val="outset" w:sz="6" w:space="0" w:color="auto"/>
            </w:tcBorders>
            <w:hideMark/>
          </w:tcPr>
          <w:p w14:paraId="2F35247F" w14:textId="77777777" w:rsidR="0025703D" w:rsidRPr="0025703D" w:rsidRDefault="0025703D" w:rsidP="0025703D">
            <w:r w:rsidRPr="0025703D">
              <w:t>Art. 430 (ofrecimiento)</w:t>
            </w:r>
          </w:p>
        </w:tc>
        <w:tc>
          <w:tcPr>
            <w:tcW w:w="0" w:type="auto"/>
            <w:tcBorders>
              <w:top w:val="nil"/>
              <w:left w:val="nil"/>
              <w:bottom w:val="outset" w:sz="6" w:space="0" w:color="auto"/>
              <w:right w:val="outset" w:sz="6" w:space="0" w:color="auto"/>
            </w:tcBorders>
            <w:hideMark/>
          </w:tcPr>
          <w:p w14:paraId="24C5ED96" w14:textId="77777777" w:rsidR="0025703D" w:rsidRPr="0025703D" w:rsidRDefault="0025703D" w:rsidP="0025703D">
            <w:r w:rsidRPr="0025703D">
              <w:t>6 meses a 1 año</w:t>
            </w:r>
          </w:p>
        </w:tc>
        <w:tc>
          <w:tcPr>
            <w:tcW w:w="0" w:type="auto"/>
            <w:tcBorders>
              <w:top w:val="nil"/>
              <w:left w:val="nil"/>
              <w:bottom w:val="outset" w:sz="6" w:space="0" w:color="auto"/>
              <w:right w:val="outset" w:sz="6" w:space="0" w:color="auto"/>
            </w:tcBorders>
            <w:hideMark/>
          </w:tcPr>
          <w:p w14:paraId="583857FA" w14:textId="77777777" w:rsidR="0025703D" w:rsidRPr="0025703D" w:rsidRDefault="0025703D" w:rsidP="0025703D">
            <w:r w:rsidRPr="0025703D">
              <w:t>Inhabilitación 1 a 4 años si es funcionario</w:t>
            </w:r>
          </w:p>
        </w:tc>
      </w:tr>
      <w:tr w:rsidR="0025703D" w:rsidRPr="0025703D" w14:paraId="44D11C5C" w14:textId="77777777">
        <w:trPr>
          <w:cantSplit/>
          <w:jc w:val="center"/>
        </w:trPr>
        <w:tc>
          <w:tcPr>
            <w:tcW w:w="0" w:type="auto"/>
            <w:tcBorders>
              <w:top w:val="nil"/>
              <w:left w:val="outset" w:sz="6" w:space="0" w:color="auto"/>
              <w:bottom w:val="outset" w:sz="6" w:space="0" w:color="auto"/>
              <w:right w:val="outset" w:sz="6" w:space="0" w:color="auto"/>
            </w:tcBorders>
            <w:hideMark/>
          </w:tcPr>
          <w:p w14:paraId="39E142C6" w14:textId="77777777" w:rsidR="0025703D" w:rsidRPr="0025703D" w:rsidRDefault="0025703D" w:rsidP="0025703D">
            <w:r w:rsidRPr="0025703D">
              <w:t>Persona jurídica responsable</w:t>
            </w:r>
          </w:p>
        </w:tc>
        <w:tc>
          <w:tcPr>
            <w:tcW w:w="0" w:type="auto"/>
            <w:tcBorders>
              <w:top w:val="nil"/>
              <w:left w:val="nil"/>
              <w:bottom w:val="outset" w:sz="6" w:space="0" w:color="auto"/>
              <w:right w:val="outset" w:sz="6" w:space="0" w:color="auto"/>
            </w:tcBorders>
            <w:hideMark/>
          </w:tcPr>
          <w:p w14:paraId="11CB7C7A" w14:textId="77777777" w:rsidR="0025703D" w:rsidRPr="0025703D" w:rsidRDefault="0025703D" w:rsidP="0025703D">
            <w:r w:rsidRPr="0025703D">
              <w:t>Multa de 6 meses a 2 años</w:t>
            </w:r>
          </w:p>
        </w:tc>
        <w:tc>
          <w:tcPr>
            <w:tcW w:w="0" w:type="auto"/>
            <w:tcBorders>
              <w:top w:val="nil"/>
              <w:left w:val="nil"/>
              <w:bottom w:val="outset" w:sz="6" w:space="0" w:color="auto"/>
              <w:right w:val="outset" w:sz="6" w:space="0" w:color="auto"/>
            </w:tcBorders>
            <w:hideMark/>
          </w:tcPr>
          <w:p w14:paraId="4672FFEE" w14:textId="77777777" w:rsidR="0025703D" w:rsidRPr="0025703D" w:rsidRDefault="0025703D" w:rsidP="0025703D">
            <w:r w:rsidRPr="0025703D">
              <w:t>Penas del art. 66 bis CP</w:t>
            </w:r>
          </w:p>
        </w:tc>
      </w:tr>
    </w:tbl>
    <w:p w14:paraId="2539D987" w14:textId="77777777" w:rsidR="0025703D" w:rsidRPr="0025703D" w:rsidRDefault="0025703D" w:rsidP="0025703D">
      <w:r w:rsidRPr="0025703D">
        <w:t xml:space="preserve"> </w:t>
      </w:r>
    </w:p>
    <w:p w14:paraId="375ADD4B" w14:textId="547D302C" w:rsidR="0025703D" w:rsidRPr="0025703D" w:rsidRDefault="0025703D" w:rsidP="0025703D">
      <w:r w:rsidRPr="0025703D">
        <w:drawing>
          <wp:inline distT="0" distB="0" distL="0" distR="0" wp14:anchorId="27DE8100" wp14:editId="55D12B76">
            <wp:extent cx="5400040" cy="8255"/>
            <wp:effectExtent l="0" t="0" r="0" b="0"/>
            <wp:docPr id="99633041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33E86A80" w14:textId="77777777" w:rsidR="0025703D" w:rsidRPr="0025703D" w:rsidRDefault="0025703D" w:rsidP="0025703D">
      <w:bookmarkStart w:id="7" w:name="bm_2_caso_plus_ultra_zapatero_la_192631"/>
      <w:bookmarkEnd w:id="7"/>
      <w:r w:rsidRPr="0025703D">
        <w:rPr>
          <w:b/>
        </w:rPr>
        <w:t>2. Caso Plus Ultra — Zapatero: La Red Jerarquizada de Influencias</w:t>
      </w:r>
    </w:p>
    <w:p w14:paraId="764A8BAF" w14:textId="77777777" w:rsidR="0025703D" w:rsidRPr="0025703D" w:rsidRDefault="0025703D" w:rsidP="0025703D">
      <w:bookmarkStart w:id="8" w:name="bm_2_1_contexto_y_origen_de_la_in_c58d59"/>
      <w:bookmarkEnd w:id="8"/>
      <w:r w:rsidRPr="0025703D">
        <w:rPr>
          <w:b/>
        </w:rPr>
        <w:t>2.1 Contexto y Origen de la Investigación</w:t>
      </w:r>
    </w:p>
    <w:p w14:paraId="24DDBAF4" w14:textId="77777777" w:rsidR="0025703D" w:rsidRPr="0025703D" w:rsidRDefault="0025703D" w:rsidP="0025703D">
      <w:r w:rsidRPr="0025703D">
        <w:t xml:space="preserve">La ayuda pública de 53 millones de euros que el Gobierno de Pedro Sánchez concedió a la aerolínea Plus Ultra a través del Fondo de Apoyo a la Solvencia de Empresas Estratégicas (FASEE) de la SEPI es el epicentro operativo de esta causa. La investigación, radicada en el Juzgado Central de Instrucción número 4 de la Audiencia Nacional, tiene su origen remoto en una </w:t>
      </w:r>
      <w:r w:rsidRPr="0025703D">
        <w:rPr>
          <w:b/>
        </w:rPr>
        <w:t>investigación transnacional iniciada en 2018</w:t>
      </w:r>
      <w:r w:rsidRPr="0025703D">
        <w:t xml:space="preserve"> contra una red de empresarios venezolanos acusados de blanqueo de capitales. En 2021, la extracción forense del teléfono del socio mayoritario de Plus Ultra, Rodolfo Reyes, reveló comunicaciones que apuntaban directamente al expresidente (</w:t>
      </w:r>
      <w:hyperlink r:id="rId8" w:history="1">
        <w:r w:rsidRPr="0025703D">
          <w:rPr>
            <w:rStyle w:val="Hipervnculo"/>
          </w:rPr>
          <w:t>Infobae España</w:t>
        </w:r>
      </w:hyperlink>
      <w:r w:rsidRPr="0025703D">
        <w:t>).</w:t>
      </w:r>
    </w:p>
    <w:p w14:paraId="6959D836" w14:textId="77777777" w:rsidR="0025703D" w:rsidRPr="0025703D" w:rsidRDefault="0025703D" w:rsidP="0025703D">
      <w:r w:rsidRPr="0025703D">
        <w:t xml:space="preserve">El 19 de mayo de 2026, el juez José Luis Calama levantó el secreto de las actuaciones y, en un auto de 85 páginas, citó a Zapatero como investigado con la imputación formal de </w:t>
      </w:r>
      <w:r w:rsidRPr="0025703D">
        <w:rPr>
          <w:b/>
        </w:rPr>
        <w:t>organización criminal, tráfico de influencias, blanqueo de capitales y falsedad documental</w:t>
      </w:r>
      <w:r w:rsidRPr="0025703D">
        <w:t>. El 17 de junio, el expresidente declaró durante casi cuatro horas ante el magistrado, quien concluyó que la comparecencia "no logró desvirtuar los indicios racionales de criminalidad" (</w:t>
      </w:r>
      <w:hyperlink r:id="rId9" w:history="1">
        <w:r w:rsidRPr="0025703D">
          <w:rPr>
            <w:rStyle w:val="Hipervnculo"/>
          </w:rPr>
          <w:t>Infobae España</w:t>
        </w:r>
      </w:hyperlink>
      <w:r w:rsidRPr="0025703D">
        <w:t>).</w:t>
      </w:r>
    </w:p>
    <w:p w14:paraId="36C88AF3" w14:textId="77777777" w:rsidR="0025703D" w:rsidRPr="0025703D" w:rsidRDefault="0025703D" w:rsidP="0025703D">
      <w:r w:rsidRPr="0025703D">
        <w:t xml:space="preserve">Paralelamente, el mismo juzgado mantiene bajo secreto </w:t>
      </w:r>
      <w:r w:rsidRPr="0025703D">
        <w:rPr>
          <w:b/>
        </w:rPr>
        <w:t>una pieza separada</w:t>
      </w:r>
      <w:r w:rsidRPr="0025703D">
        <w:t xml:space="preserve"> por un nuevo presunto tráfico de influencias con ramificaciones internacionales, que amplía el foco más allá del rescate de Plus Ultra (</w:t>
      </w:r>
      <w:hyperlink r:id="rId10" w:history="1">
        <w:r w:rsidRPr="0025703D">
          <w:rPr>
            <w:rStyle w:val="Hipervnculo"/>
          </w:rPr>
          <w:t>La Voz de Galicia</w:t>
        </w:r>
      </w:hyperlink>
      <w:r w:rsidRPr="0025703D">
        <w:t>).</w:t>
      </w:r>
    </w:p>
    <w:p w14:paraId="4687655E" w14:textId="77777777" w:rsidR="0025703D" w:rsidRPr="0025703D" w:rsidRDefault="0025703D" w:rsidP="0025703D">
      <w:bookmarkStart w:id="9" w:name="bm_2_2_estructura_jerárquica_de_la_trama"/>
      <w:bookmarkEnd w:id="9"/>
      <w:r w:rsidRPr="0025703D">
        <w:rPr>
          <w:b/>
        </w:rPr>
        <w:t>2.2 Estructura Jerárquica de la Trama</w:t>
      </w:r>
    </w:p>
    <w:p w14:paraId="53489FDD" w14:textId="77777777" w:rsidR="0025703D" w:rsidRPr="0025703D" w:rsidRDefault="0025703D" w:rsidP="0025703D">
      <w:r w:rsidRPr="0025703D">
        <w:t>El auto del juez Calama describe una "</w:t>
      </w:r>
      <w:r w:rsidRPr="0025703D">
        <w:rPr>
          <w:b/>
        </w:rPr>
        <w:t>estructura estable y jerarquizada de tráfico de influencias</w:t>
      </w:r>
      <w:r w:rsidRPr="0025703D">
        <w:t>" cuya finalidad es la obtención de beneficios económicos mediante la intermediación ante instancias públicas en favor de terceros, principalmente Plus Ultra. La estructura se articula en varios niveles operativos (</w:t>
      </w:r>
      <w:hyperlink r:id="rId11" w:history="1">
        <w:r w:rsidRPr="0025703D">
          <w:rPr>
            <w:rStyle w:val="Hipervnculo"/>
          </w:rPr>
          <w:t>El Plural</w:t>
        </w:r>
      </w:hyperlink>
      <w:r w:rsidRPr="0025703D">
        <w:t>):</w:t>
      </w:r>
    </w:p>
    <w:p w14:paraId="2429BD86" w14:textId="77777777" w:rsidR="0025703D" w:rsidRPr="0025703D" w:rsidRDefault="0025703D" w:rsidP="0025703D">
      <w:r w:rsidRPr="0025703D">
        <w:t>┌────────────────────────────────────────────────────────────────────┐</w:t>
      </w:r>
      <w:r w:rsidRPr="0025703D">
        <w:br/>
        <w:t>│                    VÉRTICE DE LA ESTRUCTURA                        │</w:t>
      </w:r>
      <w:r w:rsidRPr="0025703D">
        <w:br/>
        <w:t>│       José Luis Rodríguez Zapatero — Expresidente del Gobierno     │</w:t>
      </w:r>
      <w:r w:rsidRPr="0025703D">
        <w:br/>
        <w:t>│    (Contactos personales + acceso a altos cargos de la            │</w:t>
      </w:r>
      <w:r w:rsidRPr="0025703D">
        <w:br/>
        <w:t>│     Administración + liderazgo de la red)                          │</w:t>
      </w:r>
      <w:r w:rsidRPr="0025703D">
        <w:br/>
        <w:t>└──────────────────────────</w:t>
      </w:r>
      <w:r w:rsidRPr="0025703D">
        <w:rPr>
          <w:rFonts w:ascii="MS Gothic" w:eastAsia="MS Gothic" w:hAnsi="MS Gothic" w:cs="MS Gothic" w:hint="eastAsia"/>
        </w:rPr>
        <w:t>┬</w:t>
      </w:r>
      <w:r w:rsidRPr="0025703D">
        <w:rPr>
          <w:rFonts w:ascii="Aptos" w:hAnsi="Aptos" w:cs="Aptos"/>
        </w:rPr>
        <w:t>─────────────────────────────────────────┘</w:t>
      </w:r>
      <w:r w:rsidRPr="0025703D">
        <w:br/>
      </w:r>
      <w:r w:rsidRPr="0025703D">
        <w:lastRenderedPageBreak/>
        <w:t xml:space="preserve">                           </w:t>
      </w:r>
      <w:r w:rsidRPr="0025703D">
        <w:rPr>
          <w:rFonts w:ascii="Aptos" w:hAnsi="Aptos" w:cs="Aptos"/>
        </w:rPr>
        <w:t>│</w:t>
      </w:r>
      <w:r w:rsidRPr="0025703D">
        <w:br/>
        <w:t xml:space="preserve">         </w:t>
      </w:r>
      <w:r w:rsidRPr="0025703D">
        <w:rPr>
          <w:rFonts w:ascii="Aptos" w:hAnsi="Aptos" w:cs="Aptos"/>
        </w:rPr>
        <w:t>┌─────────────────</w:t>
      </w:r>
      <w:r w:rsidRPr="0025703D">
        <w:rPr>
          <w:rFonts w:ascii="MS Gothic" w:eastAsia="MS Gothic" w:hAnsi="MS Gothic" w:cs="MS Gothic" w:hint="eastAsia"/>
        </w:rPr>
        <w:t>┴</w:t>
      </w:r>
      <w:r w:rsidRPr="0025703D">
        <w:rPr>
          <w:rFonts w:ascii="Aptos" w:hAnsi="Aptos" w:cs="Aptos"/>
        </w:rPr>
        <w:t>─────────────────┐</w:t>
      </w:r>
      <w:r w:rsidRPr="0025703D">
        <w:br/>
        <w:t xml:space="preserve">         </w:t>
      </w:r>
      <w:r w:rsidRPr="0025703D">
        <w:rPr>
          <w:rFonts w:ascii="Aptos" w:hAnsi="Aptos" w:cs="Aptos"/>
        </w:rPr>
        <w:t>│</w:t>
      </w:r>
      <w:r w:rsidRPr="0025703D">
        <w:t xml:space="preserve">                                   </w:t>
      </w:r>
      <w:r w:rsidRPr="0025703D">
        <w:rPr>
          <w:rFonts w:ascii="Aptos" w:hAnsi="Aptos" w:cs="Aptos"/>
        </w:rPr>
        <w:t>│</w:t>
      </w:r>
      <w:r w:rsidRPr="0025703D">
        <w:br/>
      </w:r>
      <w:r w:rsidRPr="0025703D">
        <w:rPr>
          <w:rFonts w:ascii="Aptos" w:hAnsi="Aptos" w:cs="Aptos"/>
        </w:rPr>
        <w:t>┌────────</w:t>
      </w:r>
      <w:r w:rsidRPr="0025703D">
        <w:rPr>
          <w:rFonts w:ascii="Arial" w:hAnsi="Arial" w:cs="Arial"/>
        </w:rPr>
        <w:t>▼</w:t>
      </w:r>
      <w:r w:rsidRPr="0025703D">
        <w:rPr>
          <w:rFonts w:ascii="Aptos" w:hAnsi="Aptos" w:cs="Aptos"/>
        </w:rPr>
        <w:t>────────┐</w:t>
      </w:r>
      <w:r w:rsidRPr="0025703D">
        <w:t xml:space="preserve">                 </w:t>
      </w:r>
      <w:r w:rsidRPr="0025703D">
        <w:rPr>
          <w:rFonts w:ascii="Aptos" w:hAnsi="Aptos" w:cs="Aptos"/>
        </w:rPr>
        <w:t>┌────────</w:t>
      </w:r>
      <w:r w:rsidRPr="0025703D">
        <w:rPr>
          <w:rFonts w:ascii="Arial" w:hAnsi="Arial" w:cs="Arial"/>
        </w:rPr>
        <w:t>▼</w:t>
      </w:r>
      <w:r w:rsidRPr="0025703D">
        <w:rPr>
          <w:rFonts w:ascii="Aptos" w:hAnsi="Aptos" w:cs="Aptos"/>
        </w:rPr>
        <w:t>────────┐</w:t>
      </w:r>
      <w:r w:rsidRPr="0025703D">
        <w:br/>
      </w:r>
      <w:r w:rsidRPr="0025703D">
        <w:rPr>
          <w:rFonts w:ascii="Aptos" w:hAnsi="Aptos" w:cs="Aptos"/>
        </w:rPr>
        <w:t>│</w:t>
      </w:r>
      <w:r w:rsidRPr="0025703D">
        <w:t xml:space="preserve">  Julio Mart</w:t>
      </w:r>
      <w:r w:rsidRPr="0025703D">
        <w:rPr>
          <w:rFonts w:ascii="Aptos" w:hAnsi="Aptos" w:cs="Aptos"/>
        </w:rPr>
        <w:t>í</w:t>
      </w:r>
      <w:r w:rsidRPr="0025703D">
        <w:t xml:space="preserve">nez </w:t>
      </w:r>
      <w:r w:rsidRPr="0025703D">
        <w:rPr>
          <w:rFonts w:ascii="Aptos" w:hAnsi="Aptos" w:cs="Aptos"/>
        </w:rPr>
        <w:t>│</w:t>
      </w:r>
      <w:r w:rsidRPr="0025703D">
        <w:t xml:space="preserve">                 </w:t>
      </w:r>
      <w:r w:rsidRPr="0025703D">
        <w:rPr>
          <w:rFonts w:ascii="Aptos" w:hAnsi="Aptos" w:cs="Aptos"/>
        </w:rPr>
        <w:t>│</w:t>
      </w:r>
      <w:r w:rsidRPr="0025703D">
        <w:t xml:space="preserve"> Secretaria de   </w:t>
      </w:r>
      <w:r w:rsidRPr="0025703D">
        <w:rPr>
          <w:rFonts w:ascii="Aptos" w:hAnsi="Aptos" w:cs="Aptos"/>
        </w:rPr>
        <w:t>│</w:t>
      </w:r>
      <w:r w:rsidRPr="0025703D">
        <w:br/>
      </w:r>
      <w:r w:rsidRPr="0025703D">
        <w:rPr>
          <w:rFonts w:ascii="Aptos" w:hAnsi="Aptos" w:cs="Aptos"/>
        </w:rPr>
        <w:t>│</w:t>
      </w:r>
      <w:r w:rsidRPr="0025703D">
        <w:t xml:space="preserve">   Mart</w:t>
      </w:r>
      <w:r w:rsidRPr="0025703D">
        <w:rPr>
          <w:rFonts w:ascii="Aptos" w:hAnsi="Aptos" w:cs="Aptos"/>
        </w:rPr>
        <w:t>í</w:t>
      </w:r>
      <w:r w:rsidRPr="0025703D">
        <w:t xml:space="preserve">nez      </w:t>
      </w:r>
      <w:r w:rsidRPr="0025703D">
        <w:rPr>
          <w:rFonts w:ascii="Aptos" w:hAnsi="Aptos" w:cs="Aptos"/>
        </w:rPr>
        <w:t>│</w:t>
      </w:r>
      <w:r w:rsidRPr="0025703D">
        <w:t xml:space="preserve">                 </w:t>
      </w:r>
      <w:r w:rsidRPr="0025703D">
        <w:rPr>
          <w:rFonts w:ascii="Aptos" w:hAnsi="Aptos" w:cs="Aptos"/>
        </w:rPr>
        <w:t>│</w:t>
      </w:r>
      <w:r w:rsidRPr="0025703D">
        <w:t xml:space="preserve">  Zapatero       </w:t>
      </w:r>
      <w:r w:rsidRPr="0025703D">
        <w:rPr>
          <w:rFonts w:ascii="Aptos" w:hAnsi="Aptos" w:cs="Aptos"/>
        </w:rPr>
        <w:t>│</w:t>
      </w:r>
      <w:r w:rsidRPr="0025703D">
        <w:br/>
      </w:r>
      <w:r w:rsidRPr="0025703D">
        <w:rPr>
          <w:rFonts w:ascii="Aptos" w:hAnsi="Aptos" w:cs="Aptos"/>
        </w:rPr>
        <w:t>│</w:t>
      </w:r>
      <w:r w:rsidRPr="0025703D">
        <w:t xml:space="preserve"> (intermediario  │                 │ (gestión diaria │</w:t>
      </w:r>
      <w:r w:rsidRPr="0025703D">
        <w:br/>
        <w:t>│  operativo +    │                 │  de la red)     │</w:t>
      </w:r>
      <w:r w:rsidRPr="0025703D">
        <w:br/>
        <w:t>│  entramado      │                 └─────────────────┘</w:t>
      </w:r>
      <w:r w:rsidRPr="0025703D">
        <w:br/>
        <w:t>│  societario)    │</w:t>
      </w:r>
      <w:r w:rsidRPr="0025703D">
        <w:br/>
        <w:t>└────────</w:t>
      </w:r>
      <w:r w:rsidRPr="0025703D">
        <w:rPr>
          <w:rFonts w:ascii="MS Gothic" w:eastAsia="MS Gothic" w:hAnsi="MS Gothic" w:cs="MS Gothic" w:hint="eastAsia"/>
        </w:rPr>
        <w:t>┬</w:t>
      </w:r>
      <w:r w:rsidRPr="0025703D">
        <w:rPr>
          <w:rFonts w:ascii="Aptos" w:hAnsi="Aptos" w:cs="Aptos"/>
        </w:rPr>
        <w:t>────────┘</w:t>
      </w:r>
      <w:r w:rsidRPr="0025703D">
        <w:br/>
        <w:t xml:space="preserve">         </w:t>
      </w:r>
      <w:r w:rsidRPr="0025703D">
        <w:rPr>
          <w:rFonts w:ascii="Aptos" w:hAnsi="Aptos" w:cs="Aptos"/>
        </w:rPr>
        <w:t>│</w:t>
      </w:r>
      <w:r w:rsidRPr="0025703D">
        <w:br/>
      </w:r>
      <w:r w:rsidRPr="0025703D">
        <w:rPr>
          <w:rFonts w:ascii="Aptos" w:hAnsi="Aptos" w:cs="Aptos"/>
        </w:rPr>
        <w:t>┌────────</w:t>
      </w:r>
      <w:r w:rsidRPr="0025703D">
        <w:rPr>
          <w:rFonts w:ascii="Arial" w:hAnsi="Arial" w:cs="Arial"/>
        </w:rPr>
        <w:t>▼</w:t>
      </w:r>
      <w:r w:rsidRPr="0025703D">
        <w:rPr>
          <w:rFonts w:ascii="Aptos" w:hAnsi="Aptos" w:cs="Aptos"/>
        </w:rPr>
        <w:t>────────┐</w:t>
      </w:r>
      <w:r w:rsidRPr="0025703D">
        <w:t xml:space="preserve">   </w:t>
      </w:r>
      <w:r w:rsidRPr="0025703D">
        <w:rPr>
          <w:rFonts w:ascii="Aptos" w:hAnsi="Aptos" w:cs="Aptos"/>
        </w:rPr>
        <w:t>┌──────────────────┐</w:t>
      </w:r>
      <w:r w:rsidRPr="0025703D">
        <w:br/>
      </w:r>
      <w:r w:rsidRPr="0025703D">
        <w:rPr>
          <w:rFonts w:ascii="Aptos" w:hAnsi="Aptos" w:cs="Aptos"/>
        </w:rPr>
        <w:t>│</w:t>
      </w:r>
      <w:r w:rsidRPr="0025703D">
        <w:t xml:space="preserve">  Manuel Aaron   </w:t>
      </w:r>
      <w:r w:rsidRPr="0025703D">
        <w:rPr>
          <w:rFonts w:ascii="Aptos" w:hAnsi="Aptos" w:cs="Aptos"/>
        </w:rPr>
        <w:t>│</w:t>
      </w:r>
      <w:r w:rsidRPr="0025703D">
        <w:t xml:space="preserve">   </w:t>
      </w:r>
      <w:r w:rsidRPr="0025703D">
        <w:rPr>
          <w:rFonts w:ascii="Aptos" w:hAnsi="Aptos" w:cs="Aptos"/>
        </w:rPr>
        <w:t>│</w:t>
      </w:r>
      <w:r w:rsidRPr="0025703D">
        <w:t xml:space="preserve">  Crist</w:t>
      </w:r>
      <w:r w:rsidRPr="0025703D">
        <w:rPr>
          <w:rFonts w:ascii="Aptos" w:hAnsi="Aptos" w:cs="Aptos"/>
        </w:rPr>
        <w:t>ó</w:t>
      </w:r>
      <w:r w:rsidRPr="0025703D">
        <w:t xml:space="preserve">bal Cano  </w:t>
      </w:r>
      <w:r w:rsidRPr="0025703D">
        <w:rPr>
          <w:rFonts w:ascii="Aptos" w:hAnsi="Aptos" w:cs="Aptos"/>
        </w:rPr>
        <w:t>│</w:t>
      </w:r>
      <w:r w:rsidRPr="0025703D">
        <w:br/>
      </w:r>
      <w:r w:rsidRPr="0025703D">
        <w:rPr>
          <w:rFonts w:ascii="Aptos" w:hAnsi="Aptos" w:cs="Aptos"/>
        </w:rPr>
        <w:t>│</w:t>
      </w:r>
      <w:r w:rsidRPr="0025703D">
        <w:t xml:space="preserve">  Fajardo Garc</w:t>
      </w:r>
      <w:r w:rsidRPr="0025703D">
        <w:rPr>
          <w:rFonts w:ascii="Aptos" w:hAnsi="Aptos" w:cs="Aptos"/>
        </w:rPr>
        <w:t>í</w:t>
      </w:r>
      <w:r w:rsidRPr="0025703D">
        <w:t xml:space="preserve">a </w:t>
      </w:r>
      <w:r w:rsidRPr="0025703D">
        <w:rPr>
          <w:rFonts w:ascii="Aptos" w:hAnsi="Aptos" w:cs="Aptos"/>
        </w:rPr>
        <w:t>│</w:t>
      </w:r>
      <w:r w:rsidRPr="0025703D">
        <w:t xml:space="preserve">   </w:t>
      </w:r>
      <w:r w:rsidRPr="0025703D">
        <w:rPr>
          <w:rFonts w:ascii="Aptos" w:hAnsi="Aptos" w:cs="Aptos"/>
        </w:rPr>
        <w:t>│</w:t>
      </w:r>
      <w:r w:rsidRPr="0025703D">
        <w:t xml:space="preserve">   Quiles         </w:t>
      </w:r>
      <w:r w:rsidRPr="0025703D">
        <w:rPr>
          <w:rFonts w:ascii="Aptos" w:hAnsi="Aptos" w:cs="Aptos"/>
        </w:rPr>
        <w:t>│</w:t>
      </w:r>
      <w:r w:rsidRPr="0025703D">
        <w:br/>
      </w:r>
      <w:r w:rsidRPr="0025703D">
        <w:rPr>
          <w:rFonts w:ascii="Aptos" w:hAnsi="Aptos" w:cs="Aptos"/>
        </w:rPr>
        <w:t>│</w:t>
      </w:r>
      <w:r w:rsidRPr="0025703D">
        <w:t xml:space="preserve"> (intermediario  </w:t>
      </w:r>
      <w:r w:rsidRPr="0025703D">
        <w:rPr>
          <w:rFonts w:ascii="Aptos" w:hAnsi="Aptos" w:cs="Aptos"/>
        </w:rPr>
        <w:t>│</w:t>
      </w:r>
      <w:r w:rsidRPr="0025703D">
        <w:t xml:space="preserve">   </w:t>
      </w:r>
      <w:r w:rsidRPr="0025703D">
        <w:rPr>
          <w:rFonts w:ascii="Aptos" w:hAnsi="Aptos" w:cs="Aptos"/>
        </w:rPr>
        <w:t>│</w:t>
      </w:r>
      <w:r w:rsidRPr="0025703D">
        <w:t xml:space="preserve"> (gestor diario   </w:t>
      </w:r>
      <w:r w:rsidRPr="0025703D">
        <w:rPr>
          <w:rFonts w:ascii="Aptos" w:hAnsi="Aptos" w:cs="Aptos"/>
        </w:rPr>
        <w:t>│</w:t>
      </w:r>
      <w:r w:rsidRPr="0025703D">
        <w:br/>
      </w:r>
      <w:r w:rsidRPr="0025703D">
        <w:rPr>
          <w:rFonts w:ascii="Aptos" w:hAnsi="Aptos" w:cs="Aptos"/>
        </w:rPr>
        <w:t>│</w:t>
      </w:r>
      <w:r w:rsidRPr="0025703D">
        <w:t xml:space="preserve">  con clientes)  </w:t>
      </w:r>
      <w:r w:rsidRPr="0025703D">
        <w:rPr>
          <w:rFonts w:ascii="Aptos" w:hAnsi="Aptos" w:cs="Aptos"/>
        </w:rPr>
        <w:t>│</w:t>
      </w:r>
      <w:r w:rsidRPr="0025703D">
        <w:t xml:space="preserve">   </w:t>
      </w:r>
      <w:r w:rsidRPr="0025703D">
        <w:rPr>
          <w:rFonts w:ascii="Aptos" w:hAnsi="Aptos" w:cs="Aptos"/>
        </w:rPr>
        <w:t>│</w:t>
      </w:r>
      <w:r w:rsidRPr="0025703D">
        <w:t xml:space="preserve">  del entramado   </w:t>
      </w:r>
      <w:r w:rsidRPr="0025703D">
        <w:rPr>
          <w:rFonts w:ascii="Aptos" w:hAnsi="Aptos" w:cs="Aptos"/>
        </w:rPr>
        <w:t>│</w:t>
      </w:r>
      <w:r w:rsidRPr="0025703D">
        <w:br/>
      </w:r>
      <w:r w:rsidRPr="0025703D">
        <w:rPr>
          <w:rFonts w:ascii="Aptos" w:hAnsi="Aptos" w:cs="Aptos"/>
        </w:rPr>
        <w:t>└─────────────────┘</w:t>
      </w:r>
      <w:r w:rsidRPr="0025703D">
        <w:t xml:space="preserve">   </w:t>
      </w:r>
      <w:r w:rsidRPr="0025703D">
        <w:rPr>
          <w:rFonts w:ascii="Aptos" w:hAnsi="Aptos" w:cs="Aptos"/>
        </w:rPr>
        <w:t>│</w:t>
      </w:r>
      <w:r w:rsidRPr="0025703D">
        <w:t xml:space="preserve">  societario)     </w:t>
      </w:r>
      <w:r w:rsidRPr="0025703D">
        <w:rPr>
          <w:rFonts w:ascii="Aptos" w:hAnsi="Aptos" w:cs="Aptos"/>
        </w:rPr>
        <w:t>│</w:t>
      </w:r>
      <w:r w:rsidRPr="0025703D">
        <w:br/>
        <w:t xml:space="preserve">                      </w:t>
      </w:r>
      <w:r w:rsidRPr="0025703D">
        <w:rPr>
          <w:rFonts w:ascii="Aptos" w:hAnsi="Aptos" w:cs="Aptos"/>
        </w:rPr>
        <w:t>└──────────────</w:t>
      </w:r>
      <w:r w:rsidRPr="0025703D">
        <w:t>────┘</w:t>
      </w:r>
      <w:r w:rsidRPr="0025703D">
        <w:br/>
        <w:t xml:space="preserve">                           │</w:t>
      </w:r>
      <w:r w:rsidRPr="0025703D">
        <w:br/>
        <w:t xml:space="preserve">              ┌────────────</w:t>
      </w:r>
      <w:r w:rsidRPr="0025703D">
        <w:rPr>
          <w:rFonts w:ascii="Arial" w:hAnsi="Arial" w:cs="Arial"/>
        </w:rPr>
        <w:t>▼</w:t>
      </w:r>
      <w:r w:rsidRPr="0025703D">
        <w:rPr>
          <w:rFonts w:ascii="Aptos" w:hAnsi="Aptos" w:cs="Aptos"/>
        </w:rPr>
        <w:t>────────────────┐</w:t>
      </w:r>
      <w:r w:rsidRPr="0025703D">
        <w:br/>
        <w:t xml:space="preserve">              </w:t>
      </w:r>
      <w:r w:rsidRPr="0025703D">
        <w:rPr>
          <w:rFonts w:ascii="Aptos" w:hAnsi="Aptos" w:cs="Aptos"/>
        </w:rPr>
        <w:t>│</w:t>
      </w:r>
      <w:r w:rsidRPr="0025703D">
        <w:t xml:space="preserve">  SOCIEDADES INSTRUMENTALES  </w:t>
      </w:r>
      <w:r w:rsidRPr="0025703D">
        <w:rPr>
          <w:rFonts w:ascii="Aptos" w:hAnsi="Aptos" w:cs="Aptos"/>
        </w:rPr>
        <w:t>│</w:t>
      </w:r>
      <w:r w:rsidRPr="0025703D">
        <w:br/>
        <w:t xml:space="preserve">              </w:t>
      </w:r>
      <w:r w:rsidRPr="0025703D">
        <w:rPr>
          <w:rFonts w:ascii="Aptos" w:hAnsi="Aptos" w:cs="Aptos"/>
        </w:rPr>
        <w:t>│</w:t>
      </w:r>
      <w:r w:rsidRPr="0025703D">
        <w:t xml:space="preserve"> Idella </w:t>
      </w:r>
      <w:proofErr w:type="spellStart"/>
      <w:r w:rsidRPr="0025703D">
        <w:t>Consulenza</w:t>
      </w:r>
      <w:proofErr w:type="spellEnd"/>
      <w:r w:rsidRPr="0025703D">
        <w:t xml:space="preserve"> </w:t>
      </w:r>
      <w:proofErr w:type="spellStart"/>
      <w:r w:rsidRPr="0025703D">
        <w:t>Strategica</w:t>
      </w:r>
      <w:proofErr w:type="spellEnd"/>
      <w:r w:rsidRPr="0025703D">
        <w:rPr>
          <w:rFonts w:ascii="Aptos" w:hAnsi="Aptos" w:cs="Aptos"/>
        </w:rPr>
        <w:t>│</w:t>
      </w:r>
      <w:r w:rsidRPr="0025703D">
        <w:br/>
        <w:t xml:space="preserve">              </w:t>
      </w:r>
      <w:r w:rsidRPr="0025703D">
        <w:rPr>
          <w:rFonts w:ascii="Aptos" w:hAnsi="Aptos" w:cs="Aptos"/>
        </w:rPr>
        <w:t>│</w:t>
      </w:r>
      <w:r w:rsidRPr="0025703D">
        <w:t xml:space="preserve"> </w:t>
      </w:r>
      <w:proofErr w:type="spellStart"/>
      <w:r w:rsidRPr="0025703D">
        <w:t>Calet</w:t>
      </w:r>
      <w:r w:rsidRPr="0025703D">
        <w:rPr>
          <w:rFonts w:ascii="Aptos" w:hAnsi="Aptos" w:cs="Aptos"/>
        </w:rPr>
        <w:t>ó</w:t>
      </w:r>
      <w:r w:rsidRPr="0025703D">
        <w:t>n</w:t>
      </w:r>
      <w:proofErr w:type="spellEnd"/>
      <w:r w:rsidRPr="0025703D">
        <w:t xml:space="preserve"> Consultores         </w:t>
      </w:r>
      <w:r w:rsidRPr="0025703D">
        <w:rPr>
          <w:rFonts w:ascii="Aptos" w:hAnsi="Aptos" w:cs="Aptos"/>
        </w:rPr>
        <w:t>│</w:t>
      </w:r>
      <w:r w:rsidRPr="0025703D">
        <w:br/>
        <w:t xml:space="preserve">              </w:t>
      </w:r>
      <w:r w:rsidRPr="0025703D">
        <w:rPr>
          <w:rFonts w:ascii="Aptos" w:hAnsi="Aptos" w:cs="Aptos"/>
        </w:rPr>
        <w:t>│</w:t>
      </w:r>
      <w:r w:rsidRPr="0025703D">
        <w:t xml:space="preserve"> Summer Wind                 </w:t>
      </w:r>
      <w:r w:rsidRPr="0025703D">
        <w:rPr>
          <w:rFonts w:ascii="Aptos" w:hAnsi="Aptos" w:cs="Aptos"/>
        </w:rPr>
        <w:t>│</w:t>
      </w:r>
      <w:r w:rsidRPr="0025703D">
        <w:br/>
        <w:t xml:space="preserve">              </w:t>
      </w:r>
      <w:r w:rsidRPr="0025703D">
        <w:rPr>
          <w:rFonts w:ascii="Aptos" w:hAnsi="Aptos" w:cs="Aptos"/>
        </w:rPr>
        <w:t>│</w:t>
      </w:r>
      <w:r w:rsidRPr="0025703D">
        <w:t xml:space="preserve"> </w:t>
      </w:r>
      <w:proofErr w:type="spellStart"/>
      <w:r w:rsidRPr="0025703D">
        <w:t>Landside</w:t>
      </w:r>
      <w:proofErr w:type="spellEnd"/>
      <w:r w:rsidRPr="0025703D">
        <w:t xml:space="preserve"> </w:t>
      </w:r>
      <w:proofErr w:type="spellStart"/>
      <w:r w:rsidRPr="0025703D">
        <w:t>Dubai</w:t>
      </w:r>
      <w:proofErr w:type="spellEnd"/>
      <w:r w:rsidRPr="0025703D">
        <w:t xml:space="preserve"> </w:t>
      </w:r>
      <w:proofErr w:type="spellStart"/>
      <w:r w:rsidRPr="0025703D">
        <w:t>Fzco</w:t>
      </w:r>
      <w:proofErr w:type="spellEnd"/>
      <w:r w:rsidRPr="0025703D">
        <w:t xml:space="preserve">         </w:t>
      </w:r>
      <w:r w:rsidRPr="0025703D">
        <w:rPr>
          <w:rFonts w:ascii="Aptos" w:hAnsi="Aptos" w:cs="Aptos"/>
        </w:rPr>
        <w:t>│</w:t>
      </w:r>
      <w:r w:rsidRPr="0025703D">
        <w:br/>
        <w:t xml:space="preserve">              </w:t>
      </w:r>
      <w:r w:rsidRPr="0025703D">
        <w:rPr>
          <w:rFonts w:ascii="Aptos" w:hAnsi="Aptos" w:cs="Aptos"/>
        </w:rPr>
        <w:t>│</w:t>
      </w:r>
      <w:r w:rsidRPr="0025703D">
        <w:t xml:space="preserve"> An</w:t>
      </w:r>
      <w:r w:rsidRPr="0025703D">
        <w:rPr>
          <w:rFonts w:ascii="Aptos" w:hAnsi="Aptos" w:cs="Aptos"/>
        </w:rPr>
        <w:t>á</w:t>
      </w:r>
      <w:r w:rsidRPr="0025703D">
        <w:t xml:space="preserve">lisis Relevante          </w:t>
      </w:r>
      <w:r w:rsidRPr="0025703D">
        <w:rPr>
          <w:rFonts w:ascii="Aptos" w:hAnsi="Aptos" w:cs="Aptos"/>
        </w:rPr>
        <w:t>│</w:t>
      </w:r>
      <w:r w:rsidRPr="0025703D">
        <w:br/>
        <w:t xml:space="preserve">              </w:t>
      </w:r>
      <w:r w:rsidRPr="0025703D">
        <w:rPr>
          <w:rFonts w:ascii="Aptos" w:hAnsi="Aptos" w:cs="Aptos"/>
        </w:rPr>
        <w:t>│</w:t>
      </w:r>
      <w:r w:rsidRPr="0025703D">
        <w:t xml:space="preserve"> Gate Center                 </w:t>
      </w:r>
      <w:r w:rsidRPr="0025703D">
        <w:rPr>
          <w:rFonts w:ascii="Aptos" w:hAnsi="Aptos" w:cs="Aptos"/>
        </w:rPr>
        <w:t>│</w:t>
      </w:r>
      <w:r w:rsidRPr="0025703D">
        <w:br/>
        <w:t xml:space="preserve">              </w:t>
      </w:r>
      <w:r w:rsidRPr="0025703D">
        <w:rPr>
          <w:rFonts w:ascii="Aptos" w:hAnsi="Aptos" w:cs="Aptos"/>
        </w:rPr>
        <w:t>└─────────────────────────────┘</w:t>
      </w:r>
      <w:r w:rsidRPr="0025703D">
        <w:br/>
      </w:r>
    </w:p>
    <w:p w14:paraId="70588828" w14:textId="77777777" w:rsidR="0025703D" w:rsidRPr="0025703D" w:rsidRDefault="0025703D" w:rsidP="0025703D">
      <w:r w:rsidRPr="0025703D">
        <w:t xml:space="preserve">La estructura operaba por </w:t>
      </w:r>
      <w:r w:rsidRPr="0025703D">
        <w:rPr>
          <w:b/>
        </w:rPr>
        <w:t>dos líneas de influencia diferenciadas</w:t>
      </w:r>
      <w:r w:rsidRPr="0025703D">
        <w:t xml:space="preserve"> para el rescate de Plus Ultra:</w:t>
      </w:r>
    </w:p>
    <w:p w14:paraId="0F6C5581" w14:textId="77777777" w:rsidR="0025703D" w:rsidRPr="0025703D" w:rsidRDefault="0025703D" w:rsidP="0025703D">
      <w:pPr>
        <w:numPr>
          <w:ilvl w:val="0"/>
          <w:numId w:val="3"/>
        </w:numPr>
        <w:tabs>
          <w:tab w:val="clear" w:pos="0"/>
          <w:tab w:val="clear" w:pos="675"/>
        </w:tabs>
      </w:pPr>
      <w:r w:rsidRPr="0025703D">
        <w:rPr>
          <w:b/>
        </w:rPr>
        <w:t>Vía Ábalos</w:t>
      </w:r>
      <w:r w:rsidRPr="0025703D">
        <w:t>: a través del entonces ministro de Transportes José Luis Ábalos</w:t>
      </w:r>
    </w:p>
    <w:p w14:paraId="4A18E9CA" w14:textId="77777777" w:rsidR="0025703D" w:rsidRPr="0025703D" w:rsidRDefault="0025703D" w:rsidP="0025703D">
      <w:pPr>
        <w:numPr>
          <w:ilvl w:val="0"/>
          <w:numId w:val="3"/>
        </w:numPr>
        <w:tabs>
          <w:tab w:val="clear" w:pos="0"/>
          <w:tab w:val="clear" w:pos="675"/>
        </w:tabs>
      </w:pPr>
      <w:r w:rsidRPr="0025703D">
        <w:rPr>
          <w:b/>
        </w:rPr>
        <w:t>Vía Zapatero</w:t>
      </w:r>
      <w:r w:rsidRPr="0025703D">
        <w:t>: que el auto califica como la que "adquirió un papel predominante" y permitió a Plus Ultra "alcanzar los objetivos perseguidos"</w:t>
      </w:r>
    </w:p>
    <w:p w14:paraId="38CDBF81" w14:textId="77777777" w:rsidR="0025703D" w:rsidRPr="0025703D" w:rsidRDefault="0025703D" w:rsidP="0025703D">
      <w:r w:rsidRPr="0025703D">
        <w:t xml:space="preserve">Además, la red extendió su acción a una segunda línea de actuación ante el </w:t>
      </w:r>
      <w:r w:rsidRPr="0025703D">
        <w:rPr>
          <w:b/>
        </w:rPr>
        <w:t>Instituto Nacional de Aeronáutica Civil (INAC) de Venezuela</w:t>
      </w:r>
      <w:r w:rsidRPr="0025703D">
        <w:t xml:space="preserve"> para asegurar la autorización de vuelos de Plus Ultra, a través de la influencia que Julio Martínez mantenía sobre el presidente del organismo, el Mayor General Juan Manuel Teixeira Díaz.</w:t>
      </w:r>
    </w:p>
    <w:p w14:paraId="48387887" w14:textId="77777777" w:rsidR="0025703D" w:rsidRPr="0025703D" w:rsidRDefault="0025703D" w:rsidP="0025703D">
      <w:bookmarkStart w:id="10" w:name="bm_2_3_mecanismos_financieros_y_s_38c2e5"/>
      <w:bookmarkEnd w:id="10"/>
      <w:r w:rsidRPr="0025703D">
        <w:rPr>
          <w:b/>
        </w:rPr>
        <w:t>2.3 Mecanismos Financieros y Sociedades Instrumentales</w:t>
      </w:r>
    </w:p>
    <w:tbl>
      <w:tblPr>
        <w:tblW w:w="0" w:type="auto"/>
        <w:jc w:val="center"/>
        <w:tblCellMar>
          <w:top w:w="15" w:type="dxa"/>
          <w:left w:w="15" w:type="dxa"/>
          <w:bottom w:w="15" w:type="dxa"/>
          <w:right w:w="15" w:type="dxa"/>
        </w:tblCellMar>
        <w:tblLook w:val="04A0" w:firstRow="1" w:lastRow="0" w:firstColumn="1" w:lastColumn="0" w:noHBand="0" w:noVBand="1"/>
      </w:tblPr>
      <w:tblGrid>
        <w:gridCol w:w="1922"/>
        <w:gridCol w:w="3940"/>
        <w:gridCol w:w="2626"/>
      </w:tblGrid>
      <w:tr w:rsidR="0025703D" w:rsidRPr="0025703D" w14:paraId="168802AC"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3974A384" w14:textId="77777777" w:rsidR="0025703D" w:rsidRPr="0025703D" w:rsidRDefault="0025703D" w:rsidP="0025703D">
            <w:r w:rsidRPr="0025703D">
              <w:t>Sociedad</w:t>
            </w:r>
          </w:p>
        </w:tc>
        <w:tc>
          <w:tcPr>
            <w:tcW w:w="0" w:type="auto"/>
            <w:tcBorders>
              <w:top w:val="outset" w:sz="6" w:space="0" w:color="auto"/>
              <w:left w:val="nil"/>
              <w:bottom w:val="outset" w:sz="6" w:space="0" w:color="auto"/>
              <w:right w:val="outset" w:sz="6" w:space="0" w:color="auto"/>
            </w:tcBorders>
            <w:hideMark/>
          </w:tcPr>
          <w:p w14:paraId="4AB1DBF0" w14:textId="77777777" w:rsidR="0025703D" w:rsidRPr="0025703D" w:rsidRDefault="0025703D" w:rsidP="0025703D">
            <w:r w:rsidRPr="0025703D">
              <w:t>Rol</w:t>
            </w:r>
          </w:p>
        </w:tc>
        <w:tc>
          <w:tcPr>
            <w:tcW w:w="0" w:type="auto"/>
            <w:tcBorders>
              <w:top w:val="outset" w:sz="6" w:space="0" w:color="auto"/>
              <w:left w:val="nil"/>
              <w:bottom w:val="outset" w:sz="6" w:space="0" w:color="auto"/>
              <w:right w:val="outset" w:sz="6" w:space="0" w:color="auto"/>
            </w:tcBorders>
            <w:hideMark/>
          </w:tcPr>
          <w:p w14:paraId="244F6FFD" w14:textId="77777777" w:rsidR="0025703D" w:rsidRPr="0025703D" w:rsidRDefault="0025703D" w:rsidP="0025703D">
            <w:r w:rsidRPr="0025703D">
              <w:t>Cuantía vinculada</w:t>
            </w:r>
          </w:p>
        </w:tc>
      </w:tr>
      <w:tr w:rsidR="0025703D" w:rsidRPr="0025703D" w14:paraId="0E378A6E" w14:textId="77777777">
        <w:trPr>
          <w:cantSplit/>
          <w:jc w:val="center"/>
        </w:trPr>
        <w:tc>
          <w:tcPr>
            <w:tcW w:w="0" w:type="auto"/>
            <w:tcBorders>
              <w:top w:val="nil"/>
              <w:left w:val="outset" w:sz="6" w:space="0" w:color="auto"/>
              <w:bottom w:val="outset" w:sz="6" w:space="0" w:color="auto"/>
              <w:right w:val="outset" w:sz="6" w:space="0" w:color="auto"/>
            </w:tcBorders>
            <w:hideMark/>
          </w:tcPr>
          <w:p w14:paraId="7ADB3814" w14:textId="77777777" w:rsidR="0025703D" w:rsidRPr="0025703D" w:rsidRDefault="0025703D" w:rsidP="0025703D">
            <w:r w:rsidRPr="0025703D">
              <w:t xml:space="preserve">Idella </w:t>
            </w:r>
            <w:proofErr w:type="spellStart"/>
            <w:r w:rsidRPr="0025703D">
              <w:t>Consulenza</w:t>
            </w:r>
            <w:proofErr w:type="spellEnd"/>
            <w:r w:rsidRPr="0025703D">
              <w:t xml:space="preserve"> </w:t>
            </w:r>
            <w:proofErr w:type="spellStart"/>
            <w:r w:rsidRPr="0025703D">
              <w:t>Strategica</w:t>
            </w:r>
            <w:proofErr w:type="spellEnd"/>
          </w:p>
        </w:tc>
        <w:tc>
          <w:tcPr>
            <w:tcW w:w="0" w:type="auto"/>
            <w:tcBorders>
              <w:top w:val="nil"/>
              <w:left w:val="nil"/>
              <w:bottom w:val="outset" w:sz="6" w:space="0" w:color="auto"/>
              <w:right w:val="outset" w:sz="6" w:space="0" w:color="auto"/>
            </w:tcBorders>
            <w:hideMark/>
          </w:tcPr>
          <w:p w14:paraId="47034EED" w14:textId="77777777" w:rsidR="0025703D" w:rsidRPr="0025703D" w:rsidRDefault="0025703D" w:rsidP="0025703D">
            <w:r w:rsidRPr="0025703D">
              <w:t>Suscribió contrato con Plus Ultra para cobrar el 1% del rescate</w:t>
            </w:r>
          </w:p>
        </w:tc>
        <w:tc>
          <w:tcPr>
            <w:tcW w:w="0" w:type="auto"/>
            <w:tcBorders>
              <w:top w:val="nil"/>
              <w:left w:val="nil"/>
              <w:bottom w:val="outset" w:sz="6" w:space="0" w:color="auto"/>
              <w:right w:val="outset" w:sz="6" w:space="0" w:color="auto"/>
            </w:tcBorders>
            <w:hideMark/>
          </w:tcPr>
          <w:p w14:paraId="64F7B715" w14:textId="77777777" w:rsidR="0025703D" w:rsidRPr="0025703D" w:rsidRDefault="0025703D" w:rsidP="0025703D">
            <w:r w:rsidRPr="0025703D">
              <w:t>530.000 euros (530.000 + IVA)</w:t>
            </w:r>
          </w:p>
        </w:tc>
      </w:tr>
      <w:tr w:rsidR="0025703D" w:rsidRPr="0025703D" w14:paraId="5CB8C456" w14:textId="77777777">
        <w:trPr>
          <w:cantSplit/>
          <w:jc w:val="center"/>
        </w:trPr>
        <w:tc>
          <w:tcPr>
            <w:tcW w:w="0" w:type="auto"/>
            <w:tcBorders>
              <w:top w:val="nil"/>
              <w:left w:val="outset" w:sz="6" w:space="0" w:color="auto"/>
              <w:bottom w:val="outset" w:sz="6" w:space="0" w:color="auto"/>
              <w:right w:val="outset" w:sz="6" w:space="0" w:color="auto"/>
            </w:tcBorders>
            <w:hideMark/>
          </w:tcPr>
          <w:p w14:paraId="03C663B9" w14:textId="77777777" w:rsidR="0025703D" w:rsidRPr="0025703D" w:rsidRDefault="0025703D" w:rsidP="0025703D">
            <w:proofErr w:type="spellStart"/>
            <w:r w:rsidRPr="0025703D">
              <w:lastRenderedPageBreak/>
              <w:t>Landside</w:t>
            </w:r>
            <w:proofErr w:type="spellEnd"/>
            <w:r w:rsidRPr="0025703D">
              <w:t xml:space="preserve"> </w:t>
            </w:r>
            <w:proofErr w:type="spellStart"/>
            <w:r w:rsidRPr="0025703D">
              <w:t>Dubai</w:t>
            </w:r>
            <w:proofErr w:type="spellEnd"/>
            <w:r w:rsidRPr="0025703D">
              <w:t xml:space="preserve"> </w:t>
            </w:r>
            <w:proofErr w:type="spellStart"/>
            <w:r w:rsidRPr="0025703D">
              <w:t>Fzco</w:t>
            </w:r>
            <w:proofErr w:type="spellEnd"/>
          </w:p>
        </w:tc>
        <w:tc>
          <w:tcPr>
            <w:tcW w:w="0" w:type="auto"/>
            <w:tcBorders>
              <w:top w:val="nil"/>
              <w:left w:val="nil"/>
              <w:bottom w:val="outset" w:sz="6" w:space="0" w:color="auto"/>
              <w:right w:val="outset" w:sz="6" w:space="0" w:color="auto"/>
            </w:tcBorders>
            <w:hideMark/>
          </w:tcPr>
          <w:p w14:paraId="6CEC67CD" w14:textId="77777777" w:rsidR="0025703D" w:rsidRPr="0025703D" w:rsidRDefault="0025703D" w:rsidP="0025703D">
            <w:r w:rsidRPr="0025703D">
              <w:t xml:space="preserve">Sociedad </w:t>
            </w:r>
            <w:proofErr w:type="gramStart"/>
            <w:r w:rsidRPr="0025703D">
              <w:t>offshore</w:t>
            </w:r>
            <w:proofErr w:type="gramEnd"/>
            <w:r w:rsidRPr="0025703D">
              <w:t xml:space="preserve"> en Dubái creada siguiendo instrucciones de Zapatero</w:t>
            </w:r>
          </w:p>
        </w:tc>
        <w:tc>
          <w:tcPr>
            <w:tcW w:w="0" w:type="auto"/>
            <w:tcBorders>
              <w:top w:val="nil"/>
              <w:left w:val="nil"/>
              <w:bottom w:val="outset" w:sz="6" w:space="0" w:color="auto"/>
              <w:right w:val="outset" w:sz="6" w:space="0" w:color="auto"/>
            </w:tcBorders>
            <w:hideMark/>
          </w:tcPr>
          <w:p w14:paraId="44571B22" w14:textId="77777777" w:rsidR="0025703D" w:rsidRPr="0025703D" w:rsidRDefault="0025703D" w:rsidP="0025703D">
            <w:r w:rsidRPr="0025703D">
              <w:t>Plan de negocio de 3 M USD en cinco años</w:t>
            </w:r>
          </w:p>
        </w:tc>
      </w:tr>
      <w:tr w:rsidR="0025703D" w:rsidRPr="0025703D" w14:paraId="15E81434" w14:textId="77777777">
        <w:trPr>
          <w:cantSplit/>
          <w:jc w:val="center"/>
        </w:trPr>
        <w:tc>
          <w:tcPr>
            <w:tcW w:w="0" w:type="auto"/>
            <w:tcBorders>
              <w:top w:val="nil"/>
              <w:left w:val="outset" w:sz="6" w:space="0" w:color="auto"/>
              <w:bottom w:val="outset" w:sz="6" w:space="0" w:color="auto"/>
              <w:right w:val="outset" w:sz="6" w:space="0" w:color="auto"/>
            </w:tcBorders>
            <w:hideMark/>
          </w:tcPr>
          <w:p w14:paraId="3751010B" w14:textId="77777777" w:rsidR="0025703D" w:rsidRPr="0025703D" w:rsidRDefault="0025703D" w:rsidP="0025703D">
            <w:r w:rsidRPr="0025703D">
              <w:t>Análisis Relevante</w:t>
            </w:r>
          </w:p>
        </w:tc>
        <w:tc>
          <w:tcPr>
            <w:tcW w:w="0" w:type="auto"/>
            <w:tcBorders>
              <w:top w:val="nil"/>
              <w:left w:val="nil"/>
              <w:bottom w:val="outset" w:sz="6" w:space="0" w:color="auto"/>
              <w:right w:val="outset" w:sz="6" w:space="0" w:color="auto"/>
            </w:tcBorders>
            <w:hideMark/>
          </w:tcPr>
          <w:p w14:paraId="39A1C8C1" w14:textId="77777777" w:rsidR="0025703D" w:rsidRPr="0025703D" w:rsidRDefault="0025703D" w:rsidP="0025703D">
            <w:r w:rsidRPr="0025703D">
              <w:t>Remitió fondos al entorno de Zapatero</w:t>
            </w:r>
          </w:p>
        </w:tc>
        <w:tc>
          <w:tcPr>
            <w:tcW w:w="0" w:type="auto"/>
            <w:tcBorders>
              <w:top w:val="nil"/>
              <w:left w:val="nil"/>
              <w:bottom w:val="outset" w:sz="6" w:space="0" w:color="auto"/>
              <w:right w:val="outset" w:sz="6" w:space="0" w:color="auto"/>
            </w:tcBorders>
            <w:hideMark/>
          </w:tcPr>
          <w:p w14:paraId="0E9F7214" w14:textId="77777777" w:rsidR="0025703D" w:rsidRPr="0025703D" w:rsidRDefault="0025703D" w:rsidP="0025703D">
            <w:r w:rsidRPr="0025703D">
              <w:t xml:space="preserve">490.780 € a Zapatero + 239.755 € a </w:t>
            </w:r>
            <w:proofErr w:type="spellStart"/>
            <w:r w:rsidRPr="0025703D">
              <w:t>Whathefav</w:t>
            </w:r>
            <w:proofErr w:type="spellEnd"/>
          </w:p>
        </w:tc>
      </w:tr>
      <w:tr w:rsidR="0025703D" w:rsidRPr="0025703D" w14:paraId="39844FE6" w14:textId="77777777">
        <w:trPr>
          <w:cantSplit/>
          <w:jc w:val="center"/>
        </w:trPr>
        <w:tc>
          <w:tcPr>
            <w:tcW w:w="0" w:type="auto"/>
            <w:tcBorders>
              <w:top w:val="nil"/>
              <w:left w:val="outset" w:sz="6" w:space="0" w:color="auto"/>
              <w:bottom w:val="outset" w:sz="6" w:space="0" w:color="auto"/>
              <w:right w:val="outset" w:sz="6" w:space="0" w:color="auto"/>
            </w:tcBorders>
            <w:hideMark/>
          </w:tcPr>
          <w:p w14:paraId="035BC571" w14:textId="77777777" w:rsidR="0025703D" w:rsidRPr="0025703D" w:rsidRDefault="0025703D" w:rsidP="0025703D">
            <w:r w:rsidRPr="0025703D">
              <w:t>Gate Center</w:t>
            </w:r>
          </w:p>
        </w:tc>
        <w:tc>
          <w:tcPr>
            <w:tcW w:w="0" w:type="auto"/>
            <w:tcBorders>
              <w:top w:val="nil"/>
              <w:left w:val="nil"/>
              <w:bottom w:val="outset" w:sz="6" w:space="0" w:color="auto"/>
              <w:right w:val="outset" w:sz="6" w:space="0" w:color="auto"/>
            </w:tcBorders>
            <w:hideMark/>
          </w:tcPr>
          <w:p w14:paraId="72B23C84" w14:textId="77777777" w:rsidR="0025703D" w:rsidRPr="0025703D" w:rsidRDefault="0025703D" w:rsidP="0025703D">
            <w:r w:rsidRPr="0025703D">
              <w:t>Remitió fondos al entorno de Zapatero</w:t>
            </w:r>
          </w:p>
        </w:tc>
        <w:tc>
          <w:tcPr>
            <w:tcW w:w="0" w:type="auto"/>
            <w:tcBorders>
              <w:top w:val="nil"/>
              <w:left w:val="nil"/>
              <w:bottom w:val="outset" w:sz="6" w:space="0" w:color="auto"/>
              <w:right w:val="outset" w:sz="6" w:space="0" w:color="auto"/>
            </w:tcBorders>
            <w:hideMark/>
          </w:tcPr>
          <w:p w14:paraId="3AC88432" w14:textId="77777777" w:rsidR="0025703D" w:rsidRPr="0025703D" w:rsidRDefault="0025703D" w:rsidP="0025703D">
            <w:r w:rsidRPr="0025703D">
              <w:t xml:space="preserve">352.980 € a Zapatero + 171.727 € a </w:t>
            </w:r>
            <w:proofErr w:type="spellStart"/>
            <w:r w:rsidRPr="0025703D">
              <w:t>Whathefav</w:t>
            </w:r>
            <w:proofErr w:type="spellEnd"/>
          </w:p>
        </w:tc>
      </w:tr>
      <w:tr w:rsidR="0025703D" w:rsidRPr="0025703D" w14:paraId="413681B4" w14:textId="77777777">
        <w:trPr>
          <w:cantSplit/>
          <w:jc w:val="center"/>
        </w:trPr>
        <w:tc>
          <w:tcPr>
            <w:tcW w:w="0" w:type="auto"/>
            <w:tcBorders>
              <w:top w:val="nil"/>
              <w:left w:val="outset" w:sz="6" w:space="0" w:color="auto"/>
              <w:bottom w:val="outset" w:sz="6" w:space="0" w:color="auto"/>
              <w:right w:val="outset" w:sz="6" w:space="0" w:color="auto"/>
            </w:tcBorders>
            <w:hideMark/>
          </w:tcPr>
          <w:p w14:paraId="23FA0D50" w14:textId="77777777" w:rsidR="0025703D" w:rsidRPr="0025703D" w:rsidRDefault="0025703D" w:rsidP="0025703D">
            <w:r w:rsidRPr="0025703D">
              <w:t>Grupo Thinking Heads</w:t>
            </w:r>
          </w:p>
        </w:tc>
        <w:tc>
          <w:tcPr>
            <w:tcW w:w="0" w:type="auto"/>
            <w:tcBorders>
              <w:top w:val="nil"/>
              <w:left w:val="nil"/>
              <w:bottom w:val="outset" w:sz="6" w:space="0" w:color="auto"/>
              <w:right w:val="outset" w:sz="6" w:space="0" w:color="auto"/>
            </w:tcBorders>
            <w:hideMark/>
          </w:tcPr>
          <w:p w14:paraId="4ADD78F9" w14:textId="77777777" w:rsidR="0025703D" w:rsidRPr="0025703D" w:rsidRDefault="0025703D" w:rsidP="0025703D">
            <w:r w:rsidRPr="0025703D">
              <w:t>Remitió fondos al entorno de Zapatero</w:t>
            </w:r>
          </w:p>
        </w:tc>
        <w:tc>
          <w:tcPr>
            <w:tcW w:w="0" w:type="auto"/>
            <w:tcBorders>
              <w:top w:val="nil"/>
              <w:left w:val="nil"/>
              <w:bottom w:val="outset" w:sz="6" w:space="0" w:color="auto"/>
              <w:right w:val="outset" w:sz="6" w:space="0" w:color="auto"/>
            </w:tcBorders>
            <w:hideMark/>
          </w:tcPr>
          <w:p w14:paraId="2D76CA2A" w14:textId="77777777" w:rsidR="0025703D" w:rsidRPr="0025703D" w:rsidRDefault="0025703D" w:rsidP="0025703D">
            <w:r w:rsidRPr="0025703D">
              <w:t xml:space="preserve">681.318 € a Zapatero + 12.297 € a </w:t>
            </w:r>
            <w:proofErr w:type="spellStart"/>
            <w:r w:rsidRPr="0025703D">
              <w:t>Whathefav</w:t>
            </w:r>
            <w:proofErr w:type="spellEnd"/>
          </w:p>
        </w:tc>
      </w:tr>
      <w:tr w:rsidR="0025703D" w:rsidRPr="0025703D" w14:paraId="3897168B" w14:textId="77777777">
        <w:trPr>
          <w:cantSplit/>
          <w:jc w:val="center"/>
        </w:trPr>
        <w:tc>
          <w:tcPr>
            <w:tcW w:w="0" w:type="auto"/>
            <w:tcBorders>
              <w:top w:val="nil"/>
              <w:left w:val="outset" w:sz="6" w:space="0" w:color="auto"/>
              <w:bottom w:val="outset" w:sz="6" w:space="0" w:color="auto"/>
              <w:right w:val="outset" w:sz="6" w:space="0" w:color="auto"/>
            </w:tcBorders>
            <w:hideMark/>
          </w:tcPr>
          <w:p w14:paraId="631AA510" w14:textId="77777777" w:rsidR="0025703D" w:rsidRPr="0025703D" w:rsidRDefault="0025703D" w:rsidP="0025703D">
            <w:proofErr w:type="spellStart"/>
            <w:r w:rsidRPr="0025703D">
              <w:t>Caletón</w:t>
            </w:r>
            <w:proofErr w:type="spellEnd"/>
            <w:r w:rsidRPr="0025703D">
              <w:t xml:space="preserve"> Consultores</w:t>
            </w:r>
          </w:p>
        </w:tc>
        <w:tc>
          <w:tcPr>
            <w:tcW w:w="0" w:type="auto"/>
            <w:tcBorders>
              <w:top w:val="nil"/>
              <w:left w:val="nil"/>
              <w:bottom w:val="outset" w:sz="6" w:space="0" w:color="auto"/>
              <w:right w:val="outset" w:sz="6" w:space="0" w:color="auto"/>
            </w:tcBorders>
            <w:hideMark/>
          </w:tcPr>
          <w:p w14:paraId="103B4C61" w14:textId="77777777" w:rsidR="0025703D" w:rsidRPr="0025703D" w:rsidRDefault="0025703D" w:rsidP="0025703D">
            <w:r w:rsidRPr="0025703D">
              <w:t>Triangulación de pagos</w:t>
            </w:r>
          </w:p>
        </w:tc>
        <w:tc>
          <w:tcPr>
            <w:tcW w:w="0" w:type="auto"/>
            <w:tcBorders>
              <w:top w:val="nil"/>
              <w:left w:val="nil"/>
              <w:bottom w:val="outset" w:sz="6" w:space="0" w:color="auto"/>
              <w:right w:val="outset" w:sz="6" w:space="0" w:color="auto"/>
            </w:tcBorders>
            <w:hideMark/>
          </w:tcPr>
          <w:p w14:paraId="4DEDD87D" w14:textId="77777777" w:rsidR="0025703D" w:rsidRPr="0025703D" w:rsidRDefault="0025703D" w:rsidP="0025703D">
            <w:r w:rsidRPr="0025703D">
              <w:t>—</w:t>
            </w:r>
          </w:p>
        </w:tc>
      </w:tr>
      <w:tr w:rsidR="0025703D" w:rsidRPr="0025703D" w14:paraId="17E331B5" w14:textId="77777777">
        <w:trPr>
          <w:cantSplit/>
          <w:jc w:val="center"/>
        </w:trPr>
        <w:tc>
          <w:tcPr>
            <w:tcW w:w="0" w:type="auto"/>
            <w:tcBorders>
              <w:top w:val="nil"/>
              <w:left w:val="outset" w:sz="6" w:space="0" w:color="auto"/>
              <w:bottom w:val="outset" w:sz="6" w:space="0" w:color="auto"/>
              <w:right w:val="outset" w:sz="6" w:space="0" w:color="auto"/>
            </w:tcBorders>
            <w:hideMark/>
          </w:tcPr>
          <w:p w14:paraId="174891E3" w14:textId="77777777" w:rsidR="0025703D" w:rsidRPr="0025703D" w:rsidRDefault="0025703D" w:rsidP="0025703D">
            <w:r w:rsidRPr="0025703D">
              <w:t>Summer Wind</w:t>
            </w:r>
          </w:p>
        </w:tc>
        <w:tc>
          <w:tcPr>
            <w:tcW w:w="0" w:type="auto"/>
            <w:tcBorders>
              <w:top w:val="nil"/>
              <w:left w:val="nil"/>
              <w:bottom w:val="outset" w:sz="6" w:space="0" w:color="auto"/>
              <w:right w:val="outset" w:sz="6" w:space="0" w:color="auto"/>
            </w:tcBorders>
            <w:hideMark/>
          </w:tcPr>
          <w:p w14:paraId="56117E91" w14:textId="77777777" w:rsidR="0025703D" w:rsidRPr="0025703D" w:rsidRDefault="0025703D" w:rsidP="0025703D">
            <w:r w:rsidRPr="0025703D">
              <w:t>Triangulación de pagos</w:t>
            </w:r>
          </w:p>
        </w:tc>
        <w:tc>
          <w:tcPr>
            <w:tcW w:w="0" w:type="auto"/>
            <w:tcBorders>
              <w:top w:val="nil"/>
              <w:left w:val="nil"/>
              <w:bottom w:val="outset" w:sz="6" w:space="0" w:color="auto"/>
              <w:right w:val="outset" w:sz="6" w:space="0" w:color="auto"/>
            </w:tcBorders>
            <w:hideMark/>
          </w:tcPr>
          <w:p w14:paraId="783156FD" w14:textId="77777777" w:rsidR="0025703D" w:rsidRPr="0025703D" w:rsidRDefault="0025703D" w:rsidP="0025703D">
            <w:r w:rsidRPr="0025703D">
              <w:t>—</w:t>
            </w:r>
          </w:p>
        </w:tc>
      </w:tr>
      <w:tr w:rsidR="0025703D" w:rsidRPr="0025703D" w14:paraId="23C3CFD0" w14:textId="77777777">
        <w:trPr>
          <w:cantSplit/>
          <w:jc w:val="center"/>
        </w:trPr>
        <w:tc>
          <w:tcPr>
            <w:tcW w:w="0" w:type="auto"/>
            <w:tcBorders>
              <w:top w:val="nil"/>
              <w:left w:val="outset" w:sz="6" w:space="0" w:color="auto"/>
              <w:bottom w:val="outset" w:sz="6" w:space="0" w:color="auto"/>
              <w:right w:val="outset" w:sz="6" w:space="0" w:color="auto"/>
            </w:tcBorders>
            <w:hideMark/>
          </w:tcPr>
          <w:p w14:paraId="01F6A1BB" w14:textId="77777777" w:rsidR="0025703D" w:rsidRPr="0025703D" w:rsidRDefault="0025703D" w:rsidP="0025703D">
            <w:proofErr w:type="spellStart"/>
            <w:r w:rsidRPr="0025703D">
              <w:t>Whathefav</w:t>
            </w:r>
            <w:proofErr w:type="spellEnd"/>
            <w:r w:rsidRPr="0025703D">
              <w:t xml:space="preserve"> SL</w:t>
            </w:r>
          </w:p>
        </w:tc>
        <w:tc>
          <w:tcPr>
            <w:tcW w:w="0" w:type="auto"/>
            <w:tcBorders>
              <w:top w:val="nil"/>
              <w:left w:val="nil"/>
              <w:bottom w:val="outset" w:sz="6" w:space="0" w:color="auto"/>
              <w:right w:val="outset" w:sz="6" w:space="0" w:color="auto"/>
            </w:tcBorders>
            <w:hideMark/>
          </w:tcPr>
          <w:p w14:paraId="6DA74684" w14:textId="77777777" w:rsidR="0025703D" w:rsidRPr="0025703D" w:rsidRDefault="0025703D" w:rsidP="0025703D">
            <w:r w:rsidRPr="0025703D">
              <w:t>Empresa de las hijas de Zapatero; beneficiaria final de ingresos</w:t>
            </w:r>
          </w:p>
        </w:tc>
        <w:tc>
          <w:tcPr>
            <w:tcW w:w="0" w:type="auto"/>
            <w:tcBorders>
              <w:top w:val="nil"/>
              <w:left w:val="nil"/>
              <w:bottom w:val="outset" w:sz="6" w:space="0" w:color="auto"/>
              <w:right w:val="outset" w:sz="6" w:space="0" w:color="auto"/>
            </w:tcBorders>
            <w:hideMark/>
          </w:tcPr>
          <w:p w14:paraId="45493003" w14:textId="77777777" w:rsidR="0025703D" w:rsidRPr="0025703D" w:rsidRDefault="0025703D" w:rsidP="0025703D">
            <w:r w:rsidRPr="0025703D">
              <w:t>—</w:t>
            </w:r>
          </w:p>
        </w:tc>
      </w:tr>
    </w:tbl>
    <w:p w14:paraId="2A08278B" w14:textId="77777777" w:rsidR="0025703D" w:rsidRPr="0025703D" w:rsidRDefault="0025703D" w:rsidP="0025703D">
      <w:r w:rsidRPr="0025703D">
        <w:t xml:space="preserve"> </w:t>
      </w:r>
    </w:p>
    <w:p w14:paraId="15E1D631" w14:textId="77777777" w:rsidR="0025703D" w:rsidRPr="0025703D" w:rsidRDefault="0025703D" w:rsidP="0025703D">
      <w:r w:rsidRPr="0025703D">
        <w:t xml:space="preserve">Las comisiones totales percibidas por Zapatero y su entorno se cifran, según la instrucción, entre </w:t>
      </w:r>
      <w:r w:rsidRPr="0025703D">
        <w:rPr>
          <w:b/>
        </w:rPr>
        <w:t>2 y 4 millones de euros</w:t>
      </w:r>
      <w:r w:rsidRPr="0025703D">
        <w:t>, canalizados mediante contratos de asesoría o consultoría elaborados ad hoc como justificación documental (</w:t>
      </w:r>
      <w:hyperlink r:id="rId12" w:history="1">
        <w:r w:rsidRPr="0025703D">
          <w:rPr>
            <w:rStyle w:val="Hipervnculo"/>
          </w:rPr>
          <w:t>BBC Mundo</w:t>
        </w:r>
      </w:hyperlink>
      <w:r w:rsidRPr="0025703D">
        <w:t>).</w:t>
      </w:r>
    </w:p>
    <w:p w14:paraId="13E2CF59" w14:textId="77777777" w:rsidR="0025703D" w:rsidRPr="0025703D" w:rsidRDefault="0025703D" w:rsidP="0025703D">
      <w:bookmarkStart w:id="11" w:name="bm_2_4_indicios_probatorios_documentados"/>
      <w:bookmarkEnd w:id="11"/>
      <w:r w:rsidRPr="0025703D">
        <w:rPr>
          <w:b/>
        </w:rPr>
        <w:t>2.4 Indicios Probatorios Documentados</w:t>
      </w:r>
    </w:p>
    <w:p w14:paraId="7F394FFC" w14:textId="77777777" w:rsidR="0025703D" w:rsidRPr="0025703D" w:rsidRDefault="0025703D" w:rsidP="0025703D">
      <w:r w:rsidRPr="0025703D">
        <w:t>El auto de imputación asienta su construcción indiciaria sobre los siguientes elementos (</w:t>
      </w:r>
      <w:hyperlink r:id="rId13" w:history="1">
        <w:r w:rsidRPr="0025703D">
          <w:rPr>
            <w:rStyle w:val="Hipervnculo"/>
          </w:rPr>
          <w:t>El Plural</w:t>
        </w:r>
      </w:hyperlink>
      <w:r w:rsidRPr="0025703D">
        <w:t>):</w:t>
      </w:r>
    </w:p>
    <w:p w14:paraId="54BE81C3" w14:textId="77777777" w:rsidR="0025703D" w:rsidRPr="0025703D" w:rsidRDefault="0025703D" w:rsidP="0025703D">
      <w:pPr>
        <w:numPr>
          <w:ilvl w:val="0"/>
          <w:numId w:val="4"/>
        </w:numPr>
        <w:tabs>
          <w:tab w:val="clear" w:pos="0"/>
          <w:tab w:val="clear" w:pos="675"/>
        </w:tabs>
      </w:pPr>
      <w:r w:rsidRPr="0025703D">
        <w:rPr>
          <w:b/>
        </w:rPr>
        <w:t>Mensajes previos a la resolución</w:t>
      </w:r>
      <w:r w:rsidRPr="0025703D">
        <w:t xml:space="preserve">: en febrero de 2021, dos investigados celebraron en mensajes la concesión de ayuda a Plus Ultra </w:t>
      </w:r>
      <w:r w:rsidRPr="0025703D">
        <w:rPr>
          <w:b/>
        </w:rPr>
        <w:t>antes</w:t>
      </w:r>
      <w:r w:rsidRPr="0025703D">
        <w:t xml:space="preserve"> de la decisión formal del Consejo Gestor (9 de marzo de 2021), lo que acredita acceso anticipado a información privilegiada reservada</w:t>
      </w:r>
    </w:p>
    <w:p w14:paraId="2B850290" w14:textId="77777777" w:rsidR="0025703D" w:rsidRPr="0025703D" w:rsidRDefault="0025703D" w:rsidP="0025703D">
      <w:pPr>
        <w:numPr>
          <w:ilvl w:val="0"/>
          <w:numId w:val="4"/>
        </w:numPr>
        <w:tabs>
          <w:tab w:val="clear" w:pos="0"/>
          <w:tab w:val="clear" w:pos="675"/>
        </w:tabs>
      </w:pPr>
      <w:r w:rsidRPr="0025703D">
        <w:rPr>
          <w:b/>
        </w:rPr>
        <w:t xml:space="preserve">Proximidad temporal entre contrato y constitución </w:t>
      </w:r>
      <w:proofErr w:type="gramStart"/>
      <w:r w:rsidRPr="0025703D">
        <w:rPr>
          <w:b/>
        </w:rPr>
        <w:t>offshore</w:t>
      </w:r>
      <w:proofErr w:type="gramEnd"/>
      <w:r w:rsidRPr="0025703D">
        <w:t xml:space="preserve">: el contrato de Idella con Plus Ultra se fecha el 19.01.2021 y las gestiones para constituir </w:t>
      </w:r>
      <w:proofErr w:type="spellStart"/>
      <w:r w:rsidRPr="0025703D">
        <w:t>Landside</w:t>
      </w:r>
      <w:proofErr w:type="spellEnd"/>
      <w:r w:rsidRPr="0025703D">
        <w:t xml:space="preserve"> </w:t>
      </w:r>
      <w:proofErr w:type="spellStart"/>
      <w:r w:rsidRPr="0025703D">
        <w:t>Dubai</w:t>
      </w:r>
      <w:proofErr w:type="spellEnd"/>
      <w:r w:rsidRPr="0025703D">
        <w:t xml:space="preserve"> comienzan el 26.01.2021</w:t>
      </w:r>
    </w:p>
    <w:p w14:paraId="28C0174B" w14:textId="77777777" w:rsidR="0025703D" w:rsidRPr="0025703D" w:rsidRDefault="0025703D" w:rsidP="0025703D">
      <w:pPr>
        <w:numPr>
          <w:ilvl w:val="0"/>
          <w:numId w:val="4"/>
        </w:numPr>
        <w:tabs>
          <w:tab w:val="clear" w:pos="0"/>
          <w:tab w:val="clear" w:pos="675"/>
        </w:tabs>
      </w:pPr>
      <w:r w:rsidRPr="0025703D">
        <w:rPr>
          <w:b/>
        </w:rPr>
        <w:t>Trazabilidad de transferencias</w:t>
      </w:r>
      <w:r w:rsidRPr="0025703D">
        <w:t>: el juez señala transferencias entre cuentas bancarias del expresidente "en relación con fondos procedentes de la ayuda pública concedida a Plus Ultra"</w:t>
      </w:r>
    </w:p>
    <w:p w14:paraId="6C4A6EF0" w14:textId="77777777" w:rsidR="0025703D" w:rsidRPr="0025703D" w:rsidRDefault="0025703D" w:rsidP="0025703D">
      <w:pPr>
        <w:numPr>
          <w:ilvl w:val="0"/>
          <w:numId w:val="4"/>
        </w:numPr>
        <w:tabs>
          <w:tab w:val="clear" w:pos="0"/>
          <w:tab w:val="clear" w:pos="675"/>
        </w:tabs>
      </w:pPr>
      <w:r w:rsidRPr="0025703D">
        <w:rPr>
          <w:b/>
        </w:rPr>
        <w:t>Administradores testaferros</w:t>
      </w:r>
      <w:r w:rsidRPr="0025703D">
        <w:t xml:space="preserve"> en sociedades instrumentales</w:t>
      </w:r>
    </w:p>
    <w:p w14:paraId="7E8ECD18" w14:textId="77777777" w:rsidR="0025703D" w:rsidRPr="0025703D" w:rsidRDefault="0025703D" w:rsidP="0025703D">
      <w:pPr>
        <w:numPr>
          <w:ilvl w:val="0"/>
          <w:numId w:val="4"/>
        </w:numPr>
        <w:tabs>
          <w:tab w:val="clear" w:pos="0"/>
          <w:tab w:val="clear" w:pos="675"/>
        </w:tabs>
      </w:pPr>
      <w:r w:rsidRPr="0025703D">
        <w:rPr>
          <w:b/>
        </w:rPr>
        <w:t>Caja fuerte</w:t>
      </w:r>
      <w:r w:rsidRPr="0025703D">
        <w:t>: en el registro del despacho de Zapatero en Ferraz se hallaron casi 80 piezas de joyería con tasación preliminar de 1,3 millones de euros</w:t>
      </w:r>
    </w:p>
    <w:p w14:paraId="475EFEBD" w14:textId="77777777" w:rsidR="0025703D" w:rsidRPr="0025703D" w:rsidRDefault="0025703D" w:rsidP="0025703D">
      <w:pPr>
        <w:numPr>
          <w:ilvl w:val="0"/>
          <w:numId w:val="4"/>
        </w:numPr>
        <w:tabs>
          <w:tab w:val="clear" w:pos="0"/>
          <w:tab w:val="clear" w:pos="675"/>
        </w:tabs>
      </w:pPr>
      <w:r w:rsidRPr="0025703D">
        <w:rPr>
          <w:b/>
        </w:rPr>
        <w:t>Cooperación internacional</w:t>
      </w:r>
      <w:r w:rsidRPr="0025703D">
        <w:t xml:space="preserve">: información aportada por </w:t>
      </w:r>
      <w:proofErr w:type="gramStart"/>
      <w:r w:rsidRPr="0025703D">
        <w:t>EE.UU.</w:t>
      </w:r>
      <w:proofErr w:type="gramEnd"/>
      <w:r w:rsidRPr="0025703D">
        <w:t xml:space="preserve"> a través de la UDEF tras la extracción forense del móvil de Rodolfo Reyes</w:t>
      </w:r>
    </w:p>
    <w:p w14:paraId="225F7D97" w14:textId="610E7313" w:rsidR="0025703D" w:rsidRPr="0025703D" w:rsidRDefault="0025703D" w:rsidP="0025703D">
      <w:r w:rsidRPr="0025703D">
        <w:drawing>
          <wp:inline distT="0" distB="0" distL="0" distR="0" wp14:anchorId="1E079D71" wp14:editId="2DD86103">
            <wp:extent cx="5400040" cy="8255"/>
            <wp:effectExtent l="0" t="0" r="0" b="0"/>
            <wp:docPr id="86718577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4461D708" w14:textId="77777777" w:rsidR="0025703D" w:rsidRPr="0025703D" w:rsidRDefault="0025703D" w:rsidP="0025703D">
      <w:bookmarkStart w:id="12" w:name="bm_3_caso_begoña_gómez_captura_in_7c8cfd"/>
      <w:bookmarkEnd w:id="12"/>
      <w:r w:rsidRPr="0025703D">
        <w:rPr>
          <w:b/>
        </w:rPr>
        <w:t>3. Caso Begoña Gómez: Captura Institucional a Través de la Posición Relacional</w:t>
      </w:r>
    </w:p>
    <w:p w14:paraId="78832B30" w14:textId="77777777" w:rsidR="0025703D" w:rsidRPr="0025703D" w:rsidRDefault="0025703D" w:rsidP="0025703D">
      <w:bookmarkStart w:id="13" w:name="bm_3_1_contexto_y_estado_procesal"/>
      <w:bookmarkEnd w:id="13"/>
      <w:r w:rsidRPr="0025703D">
        <w:rPr>
          <w:b/>
        </w:rPr>
        <w:lastRenderedPageBreak/>
        <w:t>3.1 Contexto y Estado Procesal</w:t>
      </w:r>
    </w:p>
    <w:p w14:paraId="5B1CD61C" w14:textId="77777777" w:rsidR="0025703D" w:rsidRPr="0025703D" w:rsidRDefault="0025703D" w:rsidP="0025703D">
      <w:r w:rsidRPr="0025703D">
        <w:t xml:space="preserve">La causa se inició el 24 de abril de 2024 a raíz de una denuncia de Manos Limpias. Tras más de dos años de instrucción, el juez Juan Carlos Peinado, titular del Juzgado de Instrucción número 41 de Madrid, dictó el </w:t>
      </w:r>
      <w:r w:rsidRPr="0025703D">
        <w:rPr>
          <w:b/>
        </w:rPr>
        <w:t>20 de junio de 2026</w:t>
      </w:r>
      <w:r w:rsidRPr="0025703D">
        <w:t xml:space="preserve"> la apertura de juicio oral con jurado popular contra Begoña Gómez, Cristina Álvarez (asesora en La Moncloa) y el empresario Juan Carlos Barrabés (</w:t>
      </w:r>
      <w:hyperlink r:id="rId14" w:history="1">
        <w:r w:rsidRPr="0025703D">
          <w:rPr>
            <w:rStyle w:val="Hipervnculo"/>
          </w:rPr>
          <w:t>El País</w:t>
        </w:r>
      </w:hyperlink>
      <w:r w:rsidRPr="0025703D">
        <w:t>).</w:t>
      </w:r>
    </w:p>
    <w:p w14:paraId="7C4ECBCE" w14:textId="77777777" w:rsidR="0025703D" w:rsidRPr="0025703D" w:rsidRDefault="0025703D" w:rsidP="0025703D">
      <w:r w:rsidRPr="0025703D">
        <w:t xml:space="preserve">Los delitos por los que se celebrará juicio son: </w:t>
      </w:r>
      <w:r w:rsidRPr="0025703D">
        <w:rPr>
          <w:b/>
        </w:rPr>
        <w:t>tráfico de influencias, corrupción en los negocios, apropiación indebida y malversación de caudales públicos</w:t>
      </w:r>
      <w:r w:rsidRPr="0025703D">
        <w:t>. La acusación popular solicita 24 años de prisión para Gómez, 22 para Álvarez y 6 para Barrabés. La Fiscalía, por el contrario, ha mantenido sistemáticamente que no existen indicios suficientes (</w:t>
      </w:r>
      <w:hyperlink r:id="rId15" w:history="1">
        <w:r w:rsidRPr="0025703D">
          <w:rPr>
            <w:rStyle w:val="Hipervnculo"/>
          </w:rPr>
          <w:t>RTVE</w:t>
        </w:r>
      </w:hyperlink>
      <w:r w:rsidRPr="0025703D">
        <w:t>).</w:t>
      </w:r>
    </w:p>
    <w:p w14:paraId="75EDA3A8" w14:textId="77777777" w:rsidR="0025703D" w:rsidRPr="0025703D" w:rsidRDefault="0025703D" w:rsidP="0025703D">
      <w:r w:rsidRPr="0025703D">
        <w:t xml:space="preserve">Junto a la causa principal, el juez ha abierto una </w:t>
      </w:r>
      <w:r w:rsidRPr="0025703D">
        <w:rPr>
          <w:b/>
        </w:rPr>
        <w:t>pieza separada</w:t>
      </w:r>
      <w:r w:rsidRPr="0025703D">
        <w:t xml:space="preserve"> para investigar a Barrabés por prevaricación y fraude a los intereses de la Unión Europea, relacionada con contratos adjudicados desde </w:t>
      </w:r>
      <w:hyperlink r:id="rId16" w:history="1">
        <w:r w:rsidRPr="0025703D">
          <w:rPr>
            <w:rStyle w:val="Hipervnculo"/>
          </w:rPr>
          <w:t>Red.es</w:t>
        </w:r>
      </w:hyperlink>
      <w:r w:rsidRPr="0025703D">
        <w:t xml:space="preserve"> financiados con fondos europeos (</w:t>
      </w:r>
      <w:hyperlink r:id="rId17" w:history="1">
        <w:r w:rsidRPr="0025703D">
          <w:rPr>
            <w:rStyle w:val="Hipervnculo"/>
          </w:rPr>
          <w:t>RTVE</w:t>
        </w:r>
      </w:hyperlink>
      <w:r w:rsidRPr="0025703D">
        <w:t>). La Fiscalía Europea también mantiene investigaciones paralelas sobre estos contratos.</w:t>
      </w:r>
    </w:p>
    <w:p w14:paraId="38AC4DC1" w14:textId="77777777" w:rsidR="0025703D" w:rsidRPr="0025703D" w:rsidRDefault="0025703D" w:rsidP="0025703D">
      <w:bookmarkStart w:id="14" w:name="bm_3_2_núcleo_del_tráfico_de_infl_313a23"/>
      <w:bookmarkEnd w:id="14"/>
      <w:r w:rsidRPr="0025703D">
        <w:rPr>
          <w:b/>
        </w:rPr>
        <w:t>3.2 Núcleo del Tráfico de Influencias: El Mecanismo Relacional</w:t>
      </w:r>
    </w:p>
    <w:p w14:paraId="452FCA57" w14:textId="77777777" w:rsidR="0025703D" w:rsidRPr="0025703D" w:rsidRDefault="0025703D" w:rsidP="0025703D">
      <w:r w:rsidRPr="0025703D">
        <w:t xml:space="preserve">A diferencia del caso Plus Ultra, donde la influencia se estructura jerárquicamente a través de personas y sociedades intermediarias, el caso Gómez pivota sobre el concepto de </w:t>
      </w:r>
      <w:r w:rsidRPr="0025703D">
        <w:rPr>
          <w:b/>
        </w:rPr>
        <w:t>poder simbólico derivado del vínculo conyugal con el presidente del Gobierno</w:t>
      </w:r>
      <w:r w:rsidRPr="0025703D">
        <w:t xml:space="preserve">. El juez Peinado articula la acusación en torno a una premisa jurídica controvertida: que la condición de "esposa de" el presidente del Gobierno operó como </w:t>
      </w:r>
      <w:r w:rsidRPr="0025703D">
        <w:rPr>
          <w:b/>
        </w:rPr>
        <w:t>prevalimiento</w:t>
      </w:r>
      <w:r w:rsidRPr="0025703D">
        <w:t xml:space="preserve"> en el sentido del artículo 428 CP, abriendo puertas que de otro modo permanecerían cerradas (</w:t>
      </w:r>
      <w:hyperlink r:id="rId18" w:history="1">
        <w:r w:rsidRPr="0025703D">
          <w:rPr>
            <w:rStyle w:val="Hipervnculo"/>
          </w:rPr>
          <w:t>El País</w:t>
        </w:r>
      </w:hyperlink>
      <w:r w:rsidRPr="0025703D">
        <w:t>).</w:t>
      </w:r>
    </w:p>
    <w:p w14:paraId="557254A7" w14:textId="77777777" w:rsidR="0025703D" w:rsidRPr="0025703D" w:rsidRDefault="0025703D" w:rsidP="0025703D">
      <w:r w:rsidRPr="0025703D">
        <w:t>La Fiscalía ha rebatido esta construcción sosteniendo que "la mera relación conyugal" con el presidente no puede operar "como una suerte de presunción" del delito de tráfico de influencias (</w:t>
      </w:r>
      <w:hyperlink r:id="rId19" w:history="1">
        <w:r w:rsidRPr="0025703D">
          <w:rPr>
            <w:rStyle w:val="Hipervnculo"/>
          </w:rPr>
          <w:t>RTVE</w:t>
        </w:r>
      </w:hyperlink>
      <w:r w:rsidRPr="0025703D">
        <w:t>).</w:t>
      </w:r>
    </w:p>
    <w:p w14:paraId="1E267DD6" w14:textId="77777777" w:rsidR="0025703D" w:rsidRPr="0025703D" w:rsidRDefault="0025703D" w:rsidP="0025703D">
      <w:bookmarkStart w:id="15" w:name="bm_3_3_el_software_y_las_certific_f51c64"/>
      <w:bookmarkEnd w:id="15"/>
      <w:r w:rsidRPr="0025703D">
        <w:rPr>
          <w:b/>
        </w:rPr>
        <w:t>3.3 El Software y las Certificaciones como Instrumentos</w:t>
      </w:r>
    </w:p>
    <w:p w14:paraId="45B63530" w14:textId="77777777" w:rsidR="0025703D" w:rsidRPr="0025703D" w:rsidRDefault="0025703D" w:rsidP="0025703D">
      <w:r w:rsidRPr="0025703D">
        <w:t xml:space="preserve">La cátedra de Transformación Social Competitiva (TSC) de la Universidad Complutense, de la que Gómez fue codirectora, actúa como </w:t>
      </w:r>
      <w:r w:rsidRPr="0025703D">
        <w:rPr>
          <w:b/>
        </w:rPr>
        <w:t>marco institucional</w:t>
      </w:r>
      <w:r w:rsidRPr="0025703D">
        <w:t xml:space="preserve"> desde el que se articula el presunto tráfico de influencias. Los elementos centrales son:</w:t>
      </w:r>
    </w:p>
    <w:p w14:paraId="7A233FFC" w14:textId="77777777" w:rsidR="0025703D" w:rsidRPr="0025703D" w:rsidRDefault="0025703D" w:rsidP="0025703D">
      <w:r w:rsidRPr="0025703D">
        <w:rPr>
          <w:b/>
        </w:rPr>
        <w:t>El software para pymes:</w:t>
      </w:r>
    </w:p>
    <w:p w14:paraId="355AA6AD" w14:textId="77777777" w:rsidR="0025703D" w:rsidRPr="0025703D" w:rsidRDefault="0025703D" w:rsidP="0025703D">
      <w:pPr>
        <w:numPr>
          <w:ilvl w:val="0"/>
          <w:numId w:val="5"/>
        </w:numPr>
        <w:tabs>
          <w:tab w:val="clear" w:pos="0"/>
          <w:tab w:val="clear" w:pos="675"/>
        </w:tabs>
      </w:pPr>
      <w:r w:rsidRPr="0025703D">
        <w:t>Gómez proyectó desarrollar una plataforma tecnológica para que pequeñas y medianas empresas verificasen el cumplimiento de objetivos de sostenibilidad</w:t>
      </w:r>
    </w:p>
    <w:p w14:paraId="71B905B3" w14:textId="77777777" w:rsidR="0025703D" w:rsidRPr="0025703D" w:rsidRDefault="0025703D" w:rsidP="0025703D">
      <w:pPr>
        <w:numPr>
          <w:ilvl w:val="0"/>
          <w:numId w:val="5"/>
        </w:numPr>
        <w:tabs>
          <w:tab w:val="clear" w:pos="0"/>
          <w:tab w:val="clear" w:pos="675"/>
        </w:tabs>
      </w:pPr>
      <w:r w:rsidRPr="0025703D">
        <w:t>El juez sostiene que mantuvo "reuniones con altos cargos de grandes empresas" (ejecutivos de Indra, Telefónica y Google, entre ellos Marc Murtra, José María Álvarez-Pallete y Miguel Escassi) "para conseguir acuerdos para financiar" dicho software, sin que nadie de la Complutense estuviera presente</w:t>
      </w:r>
    </w:p>
    <w:p w14:paraId="621C8F79" w14:textId="77777777" w:rsidR="0025703D" w:rsidRPr="0025703D" w:rsidRDefault="0025703D" w:rsidP="0025703D">
      <w:pPr>
        <w:numPr>
          <w:ilvl w:val="0"/>
          <w:numId w:val="5"/>
        </w:numPr>
        <w:tabs>
          <w:tab w:val="clear" w:pos="0"/>
          <w:tab w:val="clear" w:pos="675"/>
        </w:tabs>
      </w:pPr>
      <w:r w:rsidRPr="0025703D">
        <w:t>El dominio transformatsc.org fue registrado por Gómez antes de la firma de la Memoria de Necesidades de la cátedra, lo que el juez interpreta como apropiación de un activo intelectual de la universidad (</w:t>
      </w:r>
      <w:hyperlink r:id="rId20" w:history="1">
        <w:proofErr w:type="gramStart"/>
        <w:r w:rsidRPr="0025703D">
          <w:rPr>
            <w:rStyle w:val="Hipervnculo"/>
          </w:rPr>
          <w:t>Voz Pópuli</w:t>
        </w:r>
        <w:proofErr w:type="gramEnd"/>
      </w:hyperlink>
      <w:r w:rsidRPr="0025703D">
        <w:t>)</w:t>
      </w:r>
    </w:p>
    <w:p w14:paraId="7CB90113" w14:textId="77777777" w:rsidR="0025703D" w:rsidRPr="0025703D" w:rsidRDefault="0025703D" w:rsidP="0025703D">
      <w:pPr>
        <w:numPr>
          <w:ilvl w:val="0"/>
          <w:numId w:val="5"/>
        </w:numPr>
        <w:tabs>
          <w:tab w:val="clear" w:pos="0"/>
          <w:tab w:val="clear" w:pos="675"/>
        </w:tabs>
      </w:pPr>
      <w:r w:rsidRPr="0025703D">
        <w:lastRenderedPageBreak/>
        <w:t>La UCM presentó un informe denunciando una posible apropiación indebida relacionada con los contratos sobre el software</w:t>
      </w:r>
    </w:p>
    <w:p w14:paraId="606B3A39" w14:textId="77777777" w:rsidR="0025703D" w:rsidRPr="0025703D" w:rsidRDefault="0025703D" w:rsidP="0025703D">
      <w:r w:rsidRPr="0025703D">
        <w:rPr>
          <w:b/>
        </w:rPr>
        <w:t>Las cartas de aval:</w:t>
      </w:r>
    </w:p>
    <w:p w14:paraId="0CA59485" w14:textId="77777777" w:rsidR="0025703D" w:rsidRPr="0025703D" w:rsidRDefault="0025703D" w:rsidP="0025703D">
      <w:pPr>
        <w:numPr>
          <w:ilvl w:val="0"/>
          <w:numId w:val="6"/>
        </w:numPr>
        <w:tabs>
          <w:tab w:val="clear" w:pos="0"/>
          <w:tab w:val="clear" w:pos="675"/>
        </w:tabs>
      </w:pPr>
      <w:r w:rsidRPr="0025703D">
        <w:t xml:space="preserve">Como codirectora de la cátedra, Gómez envió </w:t>
      </w:r>
      <w:r w:rsidRPr="0025703D">
        <w:rPr>
          <w:b/>
        </w:rPr>
        <w:t>dos cartas de apoyo</w:t>
      </w:r>
      <w:r w:rsidRPr="0025703D">
        <w:t xml:space="preserve"> al proyecto del empresario Juan Carlos Barrabés durante la tramitación de un concurso público ante una entidad adscrita al Ministerio de Transformación Digital</w:t>
      </w:r>
    </w:p>
    <w:p w14:paraId="473F76CD" w14:textId="77777777" w:rsidR="0025703D" w:rsidRPr="0025703D" w:rsidRDefault="0025703D" w:rsidP="0025703D">
      <w:pPr>
        <w:numPr>
          <w:ilvl w:val="0"/>
          <w:numId w:val="6"/>
        </w:numPr>
        <w:tabs>
          <w:tab w:val="clear" w:pos="0"/>
          <w:tab w:val="clear" w:pos="675"/>
        </w:tabs>
      </w:pPr>
      <w:r w:rsidRPr="0025703D">
        <w:t xml:space="preserve">Barrabés obtuvo dos adjudicaciones: </w:t>
      </w:r>
      <w:r w:rsidRPr="0025703D">
        <w:rPr>
          <w:b/>
        </w:rPr>
        <w:t>7,7 millones de euros</w:t>
      </w:r>
      <w:r w:rsidRPr="0025703D">
        <w:t xml:space="preserve"> (20 julio 2021) y </w:t>
      </w:r>
      <w:r w:rsidRPr="0025703D">
        <w:rPr>
          <w:b/>
        </w:rPr>
        <w:t>4,4 millones</w:t>
      </w:r>
      <w:r w:rsidRPr="0025703D">
        <w:t xml:space="preserve"> (2 agosto 2021)</w:t>
      </w:r>
    </w:p>
    <w:p w14:paraId="68BD710F" w14:textId="77777777" w:rsidR="0025703D" w:rsidRPr="0025703D" w:rsidRDefault="0025703D" w:rsidP="0025703D">
      <w:pPr>
        <w:numPr>
          <w:ilvl w:val="0"/>
          <w:numId w:val="6"/>
        </w:numPr>
        <w:tabs>
          <w:tab w:val="clear" w:pos="0"/>
          <w:tab w:val="clear" w:pos="675"/>
        </w:tabs>
      </w:pPr>
      <w:r w:rsidRPr="0025703D">
        <w:t>Junto a las cartas de Gómez, hubo otras treinta misivas de apoyo de empresas como IBM, Microsoft y el Ayuntamiento de Madrid</w:t>
      </w:r>
    </w:p>
    <w:p w14:paraId="46A73D71" w14:textId="77777777" w:rsidR="0025703D" w:rsidRPr="0025703D" w:rsidRDefault="0025703D" w:rsidP="0025703D">
      <w:pPr>
        <w:numPr>
          <w:ilvl w:val="0"/>
          <w:numId w:val="6"/>
        </w:numPr>
        <w:tabs>
          <w:tab w:val="clear" w:pos="0"/>
          <w:tab w:val="clear" w:pos="675"/>
        </w:tabs>
      </w:pPr>
      <w:r w:rsidRPr="0025703D">
        <w:t>La Agencia Tributaria presentó un informe que detecta elementos "</w:t>
      </w:r>
      <w:r w:rsidRPr="0025703D">
        <w:rPr>
          <w:b/>
        </w:rPr>
        <w:t>adulterados</w:t>
      </w:r>
      <w:r w:rsidRPr="0025703D">
        <w:t>" en la parte técnica de la oferta de Barrabés</w:t>
      </w:r>
    </w:p>
    <w:p w14:paraId="18ECEE98" w14:textId="77777777" w:rsidR="0025703D" w:rsidRPr="0025703D" w:rsidRDefault="0025703D" w:rsidP="0025703D">
      <w:bookmarkStart w:id="16" w:name="bm_3_4_la_malversación_el_uso_de_c71ec4"/>
      <w:bookmarkEnd w:id="16"/>
      <w:r w:rsidRPr="0025703D">
        <w:rPr>
          <w:b/>
        </w:rPr>
        <w:t>3.4 La Malversación: El Uso de Recursos Públicos</w:t>
      </w:r>
    </w:p>
    <w:p w14:paraId="548A0F30" w14:textId="77777777" w:rsidR="0025703D" w:rsidRPr="0025703D" w:rsidRDefault="0025703D" w:rsidP="0025703D">
      <w:r w:rsidRPr="0025703D">
        <w:t>El delito de malversación conecta directamente con la figura de Cristina Álvarez, asesora retribuida por la Presidencia del Gobierno desde 2018. El juez sostiene que Gómez "solicitó, aceptó y aprovechó de forma estable la dedicación de una empleada retribuida por Presidencia a tareas ajenas al cometido institucional del puesto". Esta tesis encuentra apoyo jurisprudencial en sentencias de alcaldes y concejales condenados por el uso ilícito de funcionarios públicos para tareas privadas (1994, 2014, 2018) (</w:t>
      </w:r>
      <w:hyperlink r:id="rId21" w:history="1">
        <w:r w:rsidRPr="0025703D">
          <w:rPr>
            <w:rStyle w:val="Hipervnculo"/>
          </w:rPr>
          <w:t>El País</w:t>
        </w:r>
      </w:hyperlink>
      <w:r w:rsidRPr="0025703D">
        <w:t>).</w:t>
      </w:r>
    </w:p>
    <w:p w14:paraId="4F7599B3" w14:textId="77777777" w:rsidR="0025703D" w:rsidRPr="0025703D" w:rsidRDefault="0025703D" w:rsidP="0025703D">
      <w:bookmarkStart w:id="17" w:name="bm_3_5_indicios_probatorios"/>
      <w:bookmarkEnd w:id="17"/>
      <w:r w:rsidRPr="0025703D">
        <w:rPr>
          <w:b/>
        </w:rPr>
        <w:t>3.5 Indicios Probatorios</w:t>
      </w:r>
    </w:p>
    <w:tbl>
      <w:tblPr>
        <w:tblW w:w="0" w:type="auto"/>
        <w:jc w:val="center"/>
        <w:tblCellMar>
          <w:top w:w="15" w:type="dxa"/>
          <w:left w:w="15" w:type="dxa"/>
          <w:bottom w:w="15" w:type="dxa"/>
          <w:right w:w="15" w:type="dxa"/>
        </w:tblCellMar>
        <w:tblLook w:val="04A0" w:firstRow="1" w:lastRow="0" w:firstColumn="1" w:lastColumn="0" w:noHBand="0" w:noVBand="1"/>
      </w:tblPr>
      <w:tblGrid>
        <w:gridCol w:w="3305"/>
        <w:gridCol w:w="5183"/>
      </w:tblGrid>
      <w:tr w:rsidR="0025703D" w:rsidRPr="0025703D" w14:paraId="4DBFD546"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6D964C21" w14:textId="77777777" w:rsidR="0025703D" w:rsidRPr="0025703D" w:rsidRDefault="0025703D" w:rsidP="0025703D">
            <w:r w:rsidRPr="0025703D">
              <w:t>Elemento</w:t>
            </w:r>
          </w:p>
        </w:tc>
        <w:tc>
          <w:tcPr>
            <w:tcW w:w="0" w:type="auto"/>
            <w:tcBorders>
              <w:top w:val="outset" w:sz="6" w:space="0" w:color="auto"/>
              <w:left w:val="nil"/>
              <w:bottom w:val="outset" w:sz="6" w:space="0" w:color="auto"/>
              <w:right w:val="outset" w:sz="6" w:space="0" w:color="auto"/>
            </w:tcBorders>
            <w:hideMark/>
          </w:tcPr>
          <w:p w14:paraId="39F3819A" w14:textId="77777777" w:rsidR="0025703D" w:rsidRPr="0025703D" w:rsidRDefault="0025703D" w:rsidP="0025703D">
            <w:r w:rsidRPr="0025703D">
              <w:t>Contenido probatorio</w:t>
            </w:r>
          </w:p>
        </w:tc>
      </w:tr>
      <w:tr w:rsidR="0025703D" w:rsidRPr="0025703D" w14:paraId="0EC015EB" w14:textId="77777777">
        <w:trPr>
          <w:cantSplit/>
          <w:jc w:val="center"/>
        </w:trPr>
        <w:tc>
          <w:tcPr>
            <w:tcW w:w="0" w:type="auto"/>
            <w:tcBorders>
              <w:top w:val="nil"/>
              <w:left w:val="outset" w:sz="6" w:space="0" w:color="auto"/>
              <w:bottom w:val="outset" w:sz="6" w:space="0" w:color="auto"/>
              <w:right w:val="outset" w:sz="6" w:space="0" w:color="auto"/>
            </w:tcBorders>
            <w:hideMark/>
          </w:tcPr>
          <w:p w14:paraId="5365C096" w14:textId="77777777" w:rsidR="0025703D" w:rsidRPr="0025703D" w:rsidRDefault="0025703D" w:rsidP="0025703D">
            <w:r w:rsidRPr="0025703D">
              <w:t>Sumario de 5.000+ folios (28 tomos)</w:t>
            </w:r>
          </w:p>
        </w:tc>
        <w:tc>
          <w:tcPr>
            <w:tcW w:w="0" w:type="auto"/>
            <w:tcBorders>
              <w:top w:val="nil"/>
              <w:left w:val="nil"/>
              <w:bottom w:val="outset" w:sz="6" w:space="0" w:color="auto"/>
              <w:right w:val="outset" w:sz="6" w:space="0" w:color="auto"/>
            </w:tcBorders>
            <w:hideMark/>
          </w:tcPr>
          <w:p w14:paraId="019A1263" w14:textId="77777777" w:rsidR="0025703D" w:rsidRPr="0025703D" w:rsidRDefault="0025703D" w:rsidP="0025703D">
            <w:r w:rsidRPr="0025703D">
              <w:t>Extensa documentación sobre actividad de la cátedra y del software</w:t>
            </w:r>
          </w:p>
        </w:tc>
      </w:tr>
      <w:tr w:rsidR="0025703D" w:rsidRPr="0025703D" w14:paraId="6FD077AF" w14:textId="77777777">
        <w:trPr>
          <w:cantSplit/>
          <w:jc w:val="center"/>
        </w:trPr>
        <w:tc>
          <w:tcPr>
            <w:tcW w:w="0" w:type="auto"/>
            <w:tcBorders>
              <w:top w:val="nil"/>
              <w:left w:val="outset" w:sz="6" w:space="0" w:color="auto"/>
              <w:bottom w:val="outset" w:sz="6" w:space="0" w:color="auto"/>
              <w:right w:val="outset" w:sz="6" w:space="0" w:color="auto"/>
            </w:tcBorders>
            <w:hideMark/>
          </w:tcPr>
          <w:p w14:paraId="7A158374" w14:textId="77777777" w:rsidR="0025703D" w:rsidRPr="0025703D" w:rsidRDefault="0025703D" w:rsidP="0025703D">
            <w:r w:rsidRPr="0025703D">
              <w:t>Correo del 12.12.2019</w:t>
            </w:r>
          </w:p>
        </w:tc>
        <w:tc>
          <w:tcPr>
            <w:tcW w:w="0" w:type="auto"/>
            <w:tcBorders>
              <w:top w:val="nil"/>
              <w:left w:val="nil"/>
              <w:bottom w:val="outset" w:sz="6" w:space="0" w:color="auto"/>
              <w:right w:val="outset" w:sz="6" w:space="0" w:color="auto"/>
            </w:tcBorders>
            <w:hideMark/>
          </w:tcPr>
          <w:p w14:paraId="2660EF7E" w14:textId="77777777" w:rsidR="0025703D" w:rsidRPr="0025703D" w:rsidRDefault="0025703D" w:rsidP="0025703D">
            <w:r w:rsidRPr="0025703D">
              <w:t>Gómez solicita a Barrabés rellenar una hoja para presentar el máster universitario</w:t>
            </w:r>
          </w:p>
        </w:tc>
      </w:tr>
      <w:tr w:rsidR="0025703D" w:rsidRPr="0025703D" w14:paraId="6AD9CE9E" w14:textId="77777777">
        <w:trPr>
          <w:cantSplit/>
          <w:jc w:val="center"/>
        </w:trPr>
        <w:tc>
          <w:tcPr>
            <w:tcW w:w="0" w:type="auto"/>
            <w:tcBorders>
              <w:top w:val="nil"/>
              <w:left w:val="outset" w:sz="6" w:space="0" w:color="auto"/>
              <w:bottom w:val="outset" w:sz="6" w:space="0" w:color="auto"/>
              <w:right w:val="outset" w:sz="6" w:space="0" w:color="auto"/>
            </w:tcBorders>
            <w:hideMark/>
          </w:tcPr>
          <w:p w14:paraId="2B8C5648" w14:textId="77777777" w:rsidR="0025703D" w:rsidRPr="0025703D" w:rsidRDefault="0025703D" w:rsidP="0025703D">
            <w:r w:rsidRPr="0025703D">
              <w:t>121 correos aportados por el vicerrector Doadrio</w:t>
            </w:r>
          </w:p>
        </w:tc>
        <w:tc>
          <w:tcPr>
            <w:tcW w:w="0" w:type="auto"/>
            <w:tcBorders>
              <w:top w:val="nil"/>
              <w:left w:val="nil"/>
              <w:bottom w:val="outset" w:sz="6" w:space="0" w:color="auto"/>
              <w:right w:val="outset" w:sz="6" w:space="0" w:color="auto"/>
            </w:tcBorders>
            <w:hideMark/>
          </w:tcPr>
          <w:p w14:paraId="41D6DC9A" w14:textId="77777777" w:rsidR="0025703D" w:rsidRPr="0025703D" w:rsidRDefault="0025703D" w:rsidP="0025703D">
            <w:r w:rsidRPr="0025703D">
              <w:t>Álvarez aparece implicada en 21 de ellos en tareas de la cátedra</w:t>
            </w:r>
          </w:p>
        </w:tc>
      </w:tr>
      <w:tr w:rsidR="0025703D" w:rsidRPr="0025703D" w14:paraId="1FD6B630" w14:textId="77777777">
        <w:trPr>
          <w:cantSplit/>
          <w:jc w:val="center"/>
        </w:trPr>
        <w:tc>
          <w:tcPr>
            <w:tcW w:w="0" w:type="auto"/>
            <w:tcBorders>
              <w:top w:val="nil"/>
              <w:left w:val="outset" w:sz="6" w:space="0" w:color="auto"/>
              <w:bottom w:val="outset" w:sz="6" w:space="0" w:color="auto"/>
              <w:right w:val="outset" w:sz="6" w:space="0" w:color="auto"/>
            </w:tcBorders>
            <w:hideMark/>
          </w:tcPr>
          <w:p w14:paraId="40D878F6" w14:textId="77777777" w:rsidR="0025703D" w:rsidRPr="0025703D" w:rsidRDefault="0025703D" w:rsidP="0025703D">
            <w:r w:rsidRPr="0025703D">
              <w:t>Reuniones con altos ejecutivos</w:t>
            </w:r>
          </w:p>
        </w:tc>
        <w:tc>
          <w:tcPr>
            <w:tcW w:w="0" w:type="auto"/>
            <w:tcBorders>
              <w:top w:val="nil"/>
              <w:left w:val="nil"/>
              <w:bottom w:val="outset" w:sz="6" w:space="0" w:color="auto"/>
              <w:right w:val="outset" w:sz="6" w:space="0" w:color="auto"/>
            </w:tcBorders>
            <w:hideMark/>
          </w:tcPr>
          <w:p w14:paraId="4BA54F0E" w14:textId="77777777" w:rsidR="0025703D" w:rsidRPr="0025703D" w:rsidRDefault="0025703D" w:rsidP="0025703D">
            <w:r w:rsidRPr="0025703D">
              <w:t>Declaraciones de representantes de Indra, Telefónica y Google</w:t>
            </w:r>
          </w:p>
        </w:tc>
      </w:tr>
      <w:tr w:rsidR="0025703D" w:rsidRPr="0025703D" w14:paraId="51069D3B" w14:textId="77777777">
        <w:trPr>
          <w:cantSplit/>
          <w:jc w:val="center"/>
        </w:trPr>
        <w:tc>
          <w:tcPr>
            <w:tcW w:w="0" w:type="auto"/>
            <w:tcBorders>
              <w:top w:val="nil"/>
              <w:left w:val="outset" w:sz="6" w:space="0" w:color="auto"/>
              <w:bottom w:val="outset" w:sz="6" w:space="0" w:color="auto"/>
              <w:right w:val="outset" w:sz="6" w:space="0" w:color="auto"/>
            </w:tcBorders>
            <w:hideMark/>
          </w:tcPr>
          <w:p w14:paraId="0B180AB6" w14:textId="77777777" w:rsidR="0025703D" w:rsidRPr="0025703D" w:rsidRDefault="0025703D" w:rsidP="0025703D">
            <w:r w:rsidRPr="0025703D">
              <w:t>Registro del dominio</w:t>
            </w:r>
          </w:p>
        </w:tc>
        <w:tc>
          <w:tcPr>
            <w:tcW w:w="0" w:type="auto"/>
            <w:tcBorders>
              <w:top w:val="nil"/>
              <w:left w:val="nil"/>
              <w:bottom w:val="outset" w:sz="6" w:space="0" w:color="auto"/>
              <w:right w:val="outset" w:sz="6" w:space="0" w:color="auto"/>
            </w:tcBorders>
            <w:hideMark/>
          </w:tcPr>
          <w:p w14:paraId="345F8F3B" w14:textId="77777777" w:rsidR="0025703D" w:rsidRPr="0025703D" w:rsidRDefault="0025703D" w:rsidP="0025703D">
            <w:hyperlink r:id="rId22" w:history="1">
              <w:r w:rsidRPr="0025703D">
                <w:rPr>
                  <w:rStyle w:val="Hipervnculo"/>
                </w:rPr>
                <w:t>transformatsc.org</w:t>
              </w:r>
            </w:hyperlink>
            <w:r w:rsidRPr="0025703D">
              <w:t xml:space="preserve"> registrado por Gómez antes de la cátedra</w:t>
            </w:r>
          </w:p>
        </w:tc>
      </w:tr>
      <w:tr w:rsidR="0025703D" w:rsidRPr="0025703D" w14:paraId="1351ADE9" w14:textId="77777777">
        <w:trPr>
          <w:cantSplit/>
          <w:jc w:val="center"/>
        </w:trPr>
        <w:tc>
          <w:tcPr>
            <w:tcW w:w="0" w:type="auto"/>
            <w:tcBorders>
              <w:top w:val="nil"/>
              <w:left w:val="outset" w:sz="6" w:space="0" w:color="auto"/>
              <w:bottom w:val="outset" w:sz="6" w:space="0" w:color="auto"/>
              <w:right w:val="outset" w:sz="6" w:space="0" w:color="auto"/>
            </w:tcBorders>
            <w:hideMark/>
          </w:tcPr>
          <w:p w14:paraId="05CAAF43" w14:textId="77777777" w:rsidR="0025703D" w:rsidRPr="0025703D" w:rsidRDefault="0025703D" w:rsidP="0025703D">
            <w:r w:rsidRPr="0025703D">
              <w:t>Informe de la Agencia Tributaria</w:t>
            </w:r>
          </w:p>
        </w:tc>
        <w:tc>
          <w:tcPr>
            <w:tcW w:w="0" w:type="auto"/>
            <w:tcBorders>
              <w:top w:val="nil"/>
              <w:left w:val="nil"/>
              <w:bottom w:val="outset" w:sz="6" w:space="0" w:color="auto"/>
              <w:right w:val="outset" w:sz="6" w:space="0" w:color="auto"/>
            </w:tcBorders>
            <w:hideMark/>
          </w:tcPr>
          <w:p w14:paraId="4BB2541D" w14:textId="77777777" w:rsidR="0025703D" w:rsidRPr="0025703D" w:rsidRDefault="0025703D" w:rsidP="0025703D">
            <w:r w:rsidRPr="0025703D">
              <w:t>Detecta "elementos adulterados" en la oferta técnica de Barrabés</w:t>
            </w:r>
          </w:p>
        </w:tc>
      </w:tr>
      <w:tr w:rsidR="0025703D" w:rsidRPr="0025703D" w14:paraId="69B1648F" w14:textId="77777777">
        <w:trPr>
          <w:cantSplit/>
          <w:jc w:val="center"/>
        </w:trPr>
        <w:tc>
          <w:tcPr>
            <w:tcW w:w="0" w:type="auto"/>
            <w:tcBorders>
              <w:top w:val="nil"/>
              <w:left w:val="outset" w:sz="6" w:space="0" w:color="auto"/>
              <w:bottom w:val="outset" w:sz="6" w:space="0" w:color="auto"/>
              <w:right w:val="outset" w:sz="6" w:space="0" w:color="auto"/>
            </w:tcBorders>
            <w:hideMark/>
          </w:tcPr>
          <w:p w14:paraId="3F898129" w14:textId="77777777" w:rsidR="0025703D" w:rsidRPr="0025703D" w:rsidRDefault="0025703D" w:rsidP="0025703D">
            <w:r w:rsidRPr="0025703D">
              <w:t>Informe de la UCM</w:t>
            </w:r>
          </w:p>
        </w:tc>
        <w:tc>
          <w:tcPr>
            <w:tcW w:w="0" w:type="auto"/>
            <w:tcBorders>
              <w:top w:val="nil"/>
              <w:left w:val="nil"/>
              <w:bottom w:val="outset" w:sz="6" w:space="0" w:color="auto"/>
              <w:right w:val="outset" w:sz="6" w:space="0" w:color="auto"/>
            </w:tcBorders>
            <w:hideMark/>
          </w:tcPr>
          <w:p w14:paraId="192CE09B" w14:textId="77777777" w:rsidR="0025703D" w:rsidRPr="0025703D" w:rsidRDefault="0025703D" w:rsidP="0025703D">
            <w:r w:rsidRPr="0025703D">
              <w:t>Denuncia posible apropiación indebida sobre el software</w:t>
            </w:r>
          </w:p>
        </w:tc>
      </w:tr>
      <w:tr w:rsidR="0025703D" w:rsidRPr="0025703D" w14:paraId="5EB3062A" w14:textId="77777777">
        <w:trPr>
          <w:cantSplit/>
          <w:jc w:val="center"/>
        </w:trPr>
        <w:tc>
          <w:tcPr>
            <w:tcW w:w="0" w:type="auto"/>
            <w:tcBorders>
              <w:top w:val="nil"/>
              <w:left w:val="outset" w:sz="6" w:space="0" w:color="auto"/>
              <w:bottom w:val="outset" w:sz="6" w:space="0" w:color="auto"/>
              <w:right w:val="outset" w:sz="6" w:space="0" w:color="auto"/>
            </w:tcBorders>
            <w:hideMark/>
          </w:tcPr>
          <w:p w14:paraId="556BC260" w14:textId="77777777" w:rsidR="0025703D" w:rsidRPr="0025703D" w:rsidRDefault="0025703D" w:rsidP="0025703D">
            <w:r w:rsidRPr="0025703D">
              <w:t>Declaración del vicerrector Doadrio</w:t>
            </w:r>
          </w:p>
        </w:tc>
        <w:tc>
          <w:tcPr>
            <w:tcW w:w="0" w:type="auto"/>
            <w:tcBorders>
              <w:top w:val="nil"/>
              <w:left w:val="nil"/>
              <w:bottom w:val="outset" w:sz="6" w:space="0" w:color="auto"/>
              <w:right w:val="outset" w:sz="6" w:space="0" w:color="auto"/>
            </w:tcBorders>
            <w:hideMark/>
          </w:tcPr>
          <w:p w14:paraId="220CC374" w14:textId="77777777" w:rsidR="0025703D" w:rsidRPr="0025703D" w:rsidRDefault="0025703D" w:rsidP="0025703D">
            <w:r w:rsidRPr="0025703D">
              <w:t>Afirmó nunca haber visto una cátedra dirigida por alguien sin titulación superior</w:t>
            </w:r>
          </w:p>
        </w:tc>
      </w:tr>
      <w:tr w:rsidR="0025703D" w:rsidRPr="0025703D" w14:paraId="4B681FD4" w14:textId="77777777">
        <w:trPr>
          <w:cantSplit/>
          <w:jc w:val="center"/>
        </w:trPr>
        <w:tc>
          <w:tcPr>
            <w:tcW w:w="0" w:type="auto"/>
            <w:tcBorders>
              <w:top w:val="nil"/>
              <w:left w:val="outset" w:sz="6" w:space="0" w:color="auto"/>
              <w:bottom w:val="outset" w:sz="6" w:space="0" w:color="auto"/>
              <w:right w:val="outset" w:sz="6" w:space="0" w:color="auto"/>
            </w:tcBorders>
            <w:hideMark/>
          </w:tcPr>
          <w:p w14:paraId="15006EF9" w14:textId="77777777" w:rsidR="0025703D" w:rsidRPr="0025703D" w:rsidRDefault="0025703D" w:rsidP="0025703D">
            <w:r w:rsidRPr="0025703D">
              <w:lastRenderedPageBreak/>
              <w:t>Adjudicaciones a Innova Next</w:t>
            </w:r>
          </w:p>
        </w:tc>
        <w:tc>
          <w:tcPr>
            <w:tcW w:w="0" w:type="auto"/>
            <w:tcBorders>
              <w:top w:val="nil"/>
              <w:left w:val="nil"/>
              <w:bottom w:val="outset" w:sz="6" w:space="0" w:color="auto"/>
              <w:right w:val="outset" w:sz="6" w:space="0" w:color="auto"/>
            </w:tcBorders>
            <w:hideMark/>
          </w:tcPr>
          <w:p w14:paraId="4CAE07A5" w14:textId="77777777" w:rsidR="0025703D" w:rsidRPr="0025703D" w:rsidRDefault="0025703D" w:rsidP="0025703D">
            <w:r w:rsidRPr="0025703D">
              <w:t>7,7 M€ (julio 2021) + 4,4 M€ (agosto 2021) poco después de las cartas de apoyo</w:t>
            </w:r>
          </w:p>
        </w:tc>
      </w:tr>
    </w:tbl>
    <w:p w14:paraId="7499EE84" w14:textId="77777777" w:rsidR="0025703D" w:rsidRPr="0025703D" w:rsidRDefault="0025703D" w:rsidP="0025703D">
      <w:r w:rsidRPr="0025703D">
        <w:t xml:space="preserve"> </w:t>
      </w:r>
    </w:p>
    <w:p w14:paraId="50602A60" w14:textId="0AC60A49" w:rsidR="0025703D" w:rsidRPr="0025703D" w:rsidRDefault="0025703D" w:rsidP="0025703D">
      <w:r w:rsidRPr="0025703D">
        <w:drawing>
          <wp:inline distT="0" distB="0" distL="0" distR="0" wp14:anchorId="252FB39F" wp14:editId="449E5F97">
            <wp:extent cx="5400040" cy="8255"/>
            <wp:effectExtent l="0" t="0" r="0" b="0"/>
            <wp:docPr id="82719516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1446786C" w14:textId="77777777" w:rsidR="0025703D" w:rsidRPr="0025703D" w:rsidRDefault="0025703D" w:rsidP="0025703D">
      <w:bookmarkStart w:id="18" w:name="bm_4_análisis_comparado_dos_arque_625975"/>
      <w:bookmarkEnd w:id="18"/>
      <w:r w:rsidRPr="0025703D">
        <w:rPr>
          <w:b/>
        </w:rPr>
        <w:t>4. Análisis Comparado: Dos Arquetipos de Tráfico de Influencias</w:t>
      </w:r>
    </w:p>
    <w:tbl>
      <w:tblPr>
        <w:tblW w:w="0" w:type="auto"/>
        <w:jc w:val="center"/>
        <w:tblCellMar>
          <w:top w:w="15" w:type="dxa"/>
          <w:left w:w="15" w:type="dxa"/>
          <w:bottom w:w="15" w:type="dxa"/>
          <w:right w:w="15" w:type="dxa"/>
        </w:tblCellMar>
        <w:tblLook w:val="04A0" w:firstRow="1" w:lastRow="0" w:firstColumn="1" w:lastColumn="0" w:noHBand="0" w:noVBand="1"/>
      </w:tblPr>
      <w:tblGrid>
        <w:gridCol w:w="1908"/>
        <w:gridCol w:w="3452"/>
        <w:gridCol w:w="3128"/>
      </w:tblGrid>
      <w:tr w:rsidR="0025703D" w:rsidRPr="0025703D" w14:paraId="387997FA"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6E868F03" w14:textId="77777777" w:rsidR="0025703D" w:rsidRPr="0025703D" w:rsidRDefault="0025703D" w:rsidP="0025703D">
            <w:r w:rsidRPr="0025703D">
              <w:t>Dimensión</w:t>
            </w:r>
          </w:p>
        </w:tc>
        <w:tc>
          <w:tcPr>
            <w:tcW w:w="0" w:type="auto"/>
            <w:tcBorders>
              <w:top w:val="outset" w:sz="6" w:space="0" w:color="auto"/>
              <w:left w:val="nil"/>
              <w:bottom w:val="outset" w:sz="6" w:space="0" w:color="auto"/>
              <w:right w:val="outset" w:sz="6" w:space="0" w:color="auto"/>
            </w:tcBorders>
            <w:hideMark/>
          </w:tcPr>
          <w:p w14:paraId="3B2966BE" w14:textId="77777777" w:rsidR="0025703D" w:rsidRPr="0025703D" w:rsidRDefault="0025703D" w:rsidP="0025703D">
            <w:r w:rsidRPr="0025703D">
              <w:t>Caso Plus Ultra (Zapatero)</w:t>
            </w:r>
          </w:p>
        </w:tc>
        <w:tc>
          <w:tcPr>
            <w:tcW w:w="0" w:type="auto"/>
            <w:tcBorders>
              <w:top w:val="outset" w:sz="6" w:space="0" w:color="auto"/>
              <w:left w:val="nil"/>
              <w:bottom w:val="outset" w:sz="6" w:space="0" w:color="auto"/>
              <w:right w:val="outset" w:sz="6" w:space="0" w:color="auto"/>
            </w:tcBorders>
            <w:hideMark/>
          </w:tcPr>
          <w:p w14:paraId="3E575C38" w14:textId="77777777" w:rsidR="0025703D" w:rsidRPr="0025703D" w:rsidRDefault="0025703D" w:rsidP="0025703D">
            <w:r w:rsidRPr="0025703D">
              <w:t>Caso Begoña Gómez</w:t>
            </w:r>
          </w:p>
        </w:tc>
      </w:tr>
      <w:tr w:rsidR="0025703D" w:rsidRPr="0025703D" w14:paraId="29D4B968" w14:textId="77777777">
        <w:trPr>
          <w:cantSplit/>
          <w:jc w:val="center"/>
        </w:trPr>
        <w:tc>
          <w:tcPr>
            <w:tcW w:w="0" w:type="auto"/>
            <w:tcBorders>
              <w:top w:val="nil"/>
              <w:left w:val="outset" w:sz="6" w:space="0" w:color="auto"/>
              <w:bottom w:val="outset" w:sz="6" w:space="0" w:color="auto"/>
              <w:right w:val="outset" w:sz="6" w:space="0" w:color="auto"/>
            </w:tcBorders>
            <w:hideMark/>
          </w:tcPr>
          <w:p w14:paraId="2BC81E2C" w14:textId="77777777" w:rsidR="0025703D" w:rsidRPr="0025703D" w:rsidRDefault="0025703D" w:rsidP="0025703D">
            <w:r w:rsidRPr="0025703D">
              <w:rPr>
                <w:b/>
              </w:rPr>
              <w:t>Modelo de influencia</w:t>
            </w:r>
          </w:p>
        </w:tc>
        <w:tc>
          <w:tcPr>
            <w:tcW w:w="0" w:type="auto"/>
            <w:tcBorders>
              <w:top w:val="nil"/>
              <w:left w:val="nil"/>
              <w:bottom w:val="outset" w:sz="6" w:space="0" w:color="auto"/>
              <w:right w:val="outset" w:sz="6" w:space="0" w:color="auto"/>
            </w:tcBorders>
            <w:hideMark/>
          </w:tcPr>
          <w:p w14:paraId="373A5B59" w14:textId="77777777" w:rsidR="0025703D" w:rsidRPr="0025703D" w:rsidRDefault="0025703D" w:rsidP="0025703D">
            <w:r w:rsidRPr="0025703D">
              <w:t>Red organizada y jerarquizada; el expresidente en el vértice</w:t>
            </w:r>
          </w:p>
        </w:tc>
        <w:tc>
          <w:tcPr>
            <w:tcW w:w="0" w:type="auto"/>
            <w:tcBorders>
              <w:top w:val="nil"/>
              <w:left w:val="nil"/>
              <w:bottom w:val="outset" w:sz="6" w:space="0" w:color="auto"/>
              <w:right w:val="outset" w:sz="6" w:space="0" w:color="auto"/>
            </w:tcBorders>
            <w:hideMark/>
          </w:tcPr>
          <w:p w14:paraId="54CF253F" w14:textId="77777777" w:rsidR="0025703D" w:rsidRPr="0025703D" w:rsidRDefault="0025703D" w:rsidP="0025703D">
            <w:r w:rsidRPr="0025703D">
              <w:t>Poder simbólico difuso; prevalimiento por posición conyugal</w:t>
            </w:r>
          </w:p>
        </w:tc>
      </w:tr>
      <w:tr w:rsidR="0025703D" w:rsidRPr="0025703D" w14:paraId="554F531C" w14:textId="77777777">
        <w:trPr>
          <w:cantSplit/>
          <w:jc w:val="center"/>
        </w:trPr>
        <w:tc>
          <w:tcPr>
            <w:tcW w:w="0" w:type="auto"/>
            <w:tcBorders>
              <w:top w:val="nil"/>
              <w:left w:val="outset" w:sz="6" w:space="0" w:color="auto"/>
              <w:bottom w:val="outset" w:sz="6" w:space="0" w:color="auto"/>
              <w:right w:val="outset" w:sz="6" w:space="0" w:color="auto"/>
            </w:tcBorders>
            <w:hideMark/>
          </w:tcPr>
          <w:p w14:paraId="60D98440" w14:textId="77777777" w:rsidR="0025703D" w:rsidRPr="0025703D" w:rsidRDefault="0025703D" w:rsidP="0025703D">
            <w:r w:rsidRPr="0025703D">
              <w:rPr>
                <w:b/>
              </w:rPr>
              <w:t>Activo de poder</w:t>
            </w:r>
          </w:p>
        </w:tc>
        <w:tc>
          <w:tcPr>
            <w:tcW w:w="0" w:type="auto"/>
            <w:tcBorders>
              <w:top w:val="nil"/>
              <w:left w:val="nil"/>
              <w:bottom w:val="outset" w:sz="6" w:space="0" w:color="auto"/>
              <w:right w:val="outset" w:sz="6" w:space="0" w:color="auto"/>
            </w:tcBorders>
            <w:hideMark/>
          </w:tcPr>
          <w:p w14:paraId="13B3714E" w14:textId="77777777" w:rsidR="0025703D" w:rsidRPr="0025703D" w:rsidRDefault="0025703D" w:rsidP="0025703D">
            <w:r w:rsidRPr="0025703D">
              <w:t>Contactos personales con altos cargos; acceso directo a decisores públicos</w:t>
            </w:r>
          </w:p>
        </w:tc>
        <w:tc>
          <w:tcPr>
            <w:tcW w:w="0" w:type="auto"/>
            <w:tcBorders>
              <w:top w:val="nil"/>
              <w:left w:val="nil"/>
              <w:bottom w:val="outset" w:sz="6" w:space="0" w:color="auto"/>
              <w:right w:val="outset" w:sz="6" w:space="0" w:color="auto"/>
            </w:tcBorders>
            <w:hideMark/>
          </w:tcPr>
          <w:p w14:paraId="660E7FF2" w14:textId="77777777" w:rsidR="0025703D" w:rsidRPr="0025703D" w:rsidRDefault="0025703D" w:rsidP="0025703D">
            <w:r w:rsidRPr="0025703D">
              <w:t>Imagen institucional derivada de la proximidad al presidente</w:t>
            </w:r>
          </w:p>
        </w:tc>
      </w:tr>
      <w:tr w:rsidR="0025703D" w:rsidRPr="0025703D" w14:paraId="11A3F0BF" w14:textId="77777777">
        <w:trPr>
          <w:cantSplit/>
          <w:jc w:val="center"/>
        </w:trPr>
        <w:tc>
          <w:tcPr>
            <w:tcW w:w="0" w:type="auto"/>
            <w:tcBorders>
              <w:top w:val="nil"/>
              <w:left w:val="outset" w:sz="6" w:space="0" w:color="auto"/>
              <w:bottom w:val="outset" w:sz="6" w:space="0" w:color="auto"/>
              <w:right w:val="outset" w:sz="6" w:space="0" w:color="auto"/>
            </w:tcBorders>
            <w:hideMark/>
          </w:tcPr>
          <w:p w14:paraId="5F343E19" w14:textId="77777777" w:rsidR="0025703D" w:rsidRPr="0025703D" w:rsidRDefault="0025703D" w:rsidP="0025703D">
            <w:r w:rsidRPr="0025703D">
              <w:rPr>
                <w:b/>
              </w:rPr>
              <w:t>Fondos públicos afectados</w:t>
            </w:r>
          </w:p>
        </w:tc>
        <w:tc>
          <w:tcPr>
            <w:tcW w:w="0" w:type="auto"/>
            <w:tcBorders>
              <w:top w:val="nil"/>
              <w:left w:val="nil"/>
              <w:bottom w:val="outset" w:sz="6" w:space="0" w:color="auto"/>
              <w:right w:val="outset" w:sz="6" w:space="0" w:color="auto"/>
            </w:tcBorders>
            <w:hideMark/>
          </w:tcPr>
          <w:p w14:paraId="723F389E" w14:textId="77777777" w:rsidR="0025703D" w:rsidRPr="0025703D" w:rsidRDefault="0025703D" w:rsidP="0025703D">
            <w:r w:rsidRPr="0025703D">
              <w:t>Rescate SEPI de 53 M€ (FASEE); posiblemente más vía red</w:t>
            </w:r>
          </w:p>
        </w:tc>
        <w:tc>
          <w:tcPr>
            <w:tcW w:w="0" w:type="auto"/>
            <w:tcBorders>
              <w:top w:val="nil"/>
              <w:left w:val="nil"/>
              <w:bottom w:val="outset" w:sz="6" w:space="0" w:color="auto"/>
              <w:right w:val="outset" w:sz="6" w:space="0" w:color="auto"/>
            </w:tcBorders>
            <w:hideMark/>
          </w:tcPr>
          <w:p w14:paraId="7E6C090B" w14:textId="77777777" w:rsidR="0025703D" w:rsidRPr="0025703D" w:rsidRDefault="0025703D" w:rsidP="0025703D">
            <w:r w:rsidRPr="0025703D">
              <w:t>Contratos públicos (</w:t>
            </w:r>
            <w:hyperlink r:id="rId23" w:history="1">
              <w:r w:rsidRPr="0025703D">
                <w:rPr>
                  <w:rStyle w:val="Hipervnculo"/>
                </w:rPr>
                <w:t>Red.es</w:t>
              </w:r>
            </w:hyperlink>
            <w:r w:rsidRPr="0025703D">
              <w:t>): 7,7 M€ + 4,4 M€; fondos europeos</w:t>
            </w:r>
          </w:p>
        </w:tc>
      </w:tr>
      <w:tr w:rsidR="0025703D" w:rsidRPr="0025703D" w14:paraId="307369D8" w14:textId="77777777">
        <w:trPr>
          <w:cantSplit/>
          <w:jc w:val="center"/>
        </w:trPr>
        <w:tc>
          <w:tcPr>
            <w:tcW w:w="0" w:type="auto"/>
            <w:tcBorders>
              <w:top w:val="nil"/>
              <w:left w:val="outset" w:sz="6" w:space="0" w:color="auto"/>
              <w:bottom w:val="outset" w:sz="6" w:space="0" w:color="auto"/>
              <w:right w:val="outset" w:sz="6" w:space="0" w:color="auto"/>
            </w:tcBorders>
            <w:hideMark/>
          </w:tcPr>
          <w:p w14:paraId="59578BB4" w14:textId="77777777" w:rsidR="0025703D" w:rsidRPr="0025703D" w:rsidRDefault="0025703D" w:rsidP="0025703D">
            <w:r w:rsidRPr="0025703D">
              <w:rPr>
                <w:b/>
              </w:rPr>
              <w:t>Origen del dinero</w:t>
            </w:r>
          </w:p>
        </w:tc>
        <w:tc>
          <w:tcPr>
            <w:tcW w:w="0" w:type="auto"/>
            <w:tcBorders>
              <w:top w:val="nil"/>
              <w:left w:val="nil"/>
              <w:bottom w:val="outset" w:sz="6" w:space="0" w:color="auto"/>
              <w:right w:val="outset" w:sz="6" w:space="0" w:color="auto"/>
            </w:tcBorders>
            <w:hideMark/>
          </w:tcPr>
          <w:p w14:paraId="0E975AB3" w14:textId="77777777" w:rsidR="0025703D" w:rsidRPr="0025703D" w:rsidRDefault="0025703D" w:rsidP="0025703D">
            <w:r w:rsidRPr="0025703D">
              <w:t>Parcialmente venezolano (PDVSA/blanqueo), parcialmente comisiones de empresas españolas</w:t>
            </w:r>
          </w:p>
        </w:tc>
        <w:tc>
          <w:tcPr>
            <w:tcW w:w="0" w:type="auto"/>
            <w:tcBorders>
              <w:top w:val="nil"/>
              <w:left w:val="nil"/>
              <w:bottom w:val="outset" w:sz="6" w:space="0" w:color="auto"/>
              <w:right w:val="outset" w:sz="6" w:space="0" w:color="auto"/>
            </w:tcBorders>
            <w:hideMark/>
          </w:tcPr>
          <w:p w14:paraId="5F7F447D" w14:textId="77777777" w:rsidR="0025703D" w:rsidRPr="0025703D" w:rsidRDefault="0025703D" w:rsidP="0025703D">
            <w:r w:rsidRPr="0025703D">
              <w:t>Financiación privada de la cátedra + contratos públicos adjudicados</w:t>
            </w:r>
          </w:p>
        </w:tc>
      </w:tr>
      <w:tr w:rsidR="0025703D" w:rsidRPr="0025703D" w14:paraId="1C39D177" w14:textId="77777777">
        <w:trPr>
          <w:cantSplit/>
          <w:jc w:val="center"/>
        </w:trPr>
        <w:tc>
          <w:tcPr>
            <w:tcW w:w="0" w:type="auto"/>
            <w:tcBorders>
              <w:top w:val="nil"/>
              <w:left w:val="outset" w:sz="6" w:space="0" w:color="auto"/>
              <w:bottom w:val="outset" w:sz="6" w:space="0" w:color="auto"/>
              <w:right w:val="outset" w:sz="6" w:space="0" w:color="auto"/>
            </w:tcBorders>
            <w:hideMark/>
          </w:tcPr>
          <w:p w14:paraId="56B055AA" w14:textId="77777777" w:rsidR="0025703D" w:rsidRPr="0025703D" w:rsidRDefault="0025703D" w:rsidP="0025703D">
            <w:r w:rsidRPr="0025703D">
              <w:rPr>
                <w:b/>
              </w:rPr>
              <w:t>Mecanismos de ocultación</w:t>
            </w:r>
          </w:p>
        </w:tc>
        <w:tc>
          <w:tcPr>
            <w:tcW w:w="0" w:type="auto"/>
            <w:tcBorders>
              <w:top w:val="nil"/>
              <w:left w:val="nil"/>
              <w:bottom w:val="outset" w:sz="6" w:space="0" w:color="auto"/>
              <w:right w:val="outset" w:sz="6" w:space="0" w:color="auto"/>
            </w:tcBorders>
            <w:hideMark/>
          </w:tcPr>
          <w:p w14:paraId="45D33E90" w14:textId="77777777" w:rsidR="0025703D" w:rsidRPr="0025703D" w:rsidRDefault="0025703D" w:rsidP="0025703D">
            <w:r w:rsidRPr="0025703D">
              <w:t xml:space="preserve">Sociedades </w:t>
            </w:r>
            <w:proofErr w:type="gramStart"/>
            <w:r w:rsidRPr="0025703D">
              <w:t>offshore</w:t>
            </w:r>
            <w:proofErr w:type="gramEnd"/>
            <w:r w:rsidRPr="0025703D">
              <w:t xml:space="preserve"> (Dubái), testaferros, contratos de asesoría ad hoc</w:t>
            </w:r>
          </w:p>
        </w:tc>
        <w:tc>
          <w:tcPr>
            <w:tcW w:w="0" w:type="auto"/>
            <w:tcBorders>
              <w:top w:val="nil"/>
              <w:left w:val="nil"/>
              <w:bottom w:val="outset" w:sz="6" w:space="0" w:color="auto"/>
              <w:right w:val="outset" w:sz="6" w:space="0" w:color="auto"/>
            </w:tcBorders>
            <w:hideMark/>
          </w:tcPr>
          <w:p w14:paraId="5413F20D" w14:textId="77777777" w:rsidR="0025703D" w:rsidRPr="0025703D" w:rsidRDefault="0025703D" w:rsidP="0025703D">
            <w:r w:rsidRPr="0025703D">
              <w:t>Estructura universitaria (cátedra UCM), registro de dominio, software como vehículo</w:t>
            </w:r>
          </w:p>
        </w:tc>
      </w:tr>
      <w:tr w:rsidR="0025703D" w:rsidRPr="0025703D" w14:paraId="49744FBB" w14:textId="77777777">
        <w:trPr>
          <w:cantSplit/>
          <w:jc w:val="center"/>
        </w:trPr>
        <w:tc>
          <w:tcPr>
            <w:tcW w:w="0" w:type="auto"/>
            <w:tcBorders>
              <w:top w:val="nil"/>
              <w:left w:val="outset" w:sz="6" w:space="0" w:color="auto"/>
              <w:bottom w:val="outset" w:sz="6" w:space="0" w:color="auto"/>
              <w:right w:val="outset" w:sz="6" w:space="0" w:color="auto"/>
            </w:tcBorders>
            <w:hideMark/>
          </w:tcPr>
          <w:p w14:paraId="7125758E" w14:textId="77777777" w:rsidR="0025703D" w:rsidRPr="0025703D" w:rsidRDefault="0025703D" w:rsidP="0025703D">
            <w:r w:rsidRPr="0025703D">
              <w:rPr>
                <w:b/>
              </w:rPr>
              <w:t>Tipología penal principal</w:t>
            </w:r>
          </w:p>
        </w:tc>
        <w:tc>
          <w:tcPr>
            <w:tcW w:w="0" w:type="auto"/>
            <w:tcBorders>
              <w:top w:val="nil"/>
              <w:left w:val="nil"/>
              <w:bottom w:val="outset" w:sz="6" w:space="0" w:color="auto"/>
              <w:right w:val="outset" w:sz="6" w:space="0" w:color="auto"/>
            </w:tcBorders>
            <w:hideMark/>
          </w:tcPr>
          <w:p w14:paraId="451BB2AF" w14:textId="77777777" w:rsidR="0025703D" w:rsidRPr="0025703D" w:rsidRDefault="0025703D" w:rsidP="0025703D">
            <w:r w:rsidRPr="0025703D">
              <w:t>Art. 428-430 CP + blanqueo (art. 301) + organización criminal</w:t>
            </w:r>
          </w:p>
        </w:tc>
        <w:tc>
          <w:tcPr>
            <w:tcW w:w="0" w:type="auto"/>
            <w:tcBorders>
              <w:top w:val="nil"/>
              <w:left w:val="nil"/>
              <w:bottom w:val="outset" w:sz="6" w:space="0" w:color="auto"/>
              <w:right w:val="outset" w:sz="6" w:space="0" w:color="auto"/>
            </w:tcBorders>
            <w:hideMark/>
          </w:tcPr>
          <w:p w14:paraId="52A2C534" w14:textId="77777777" w:rsidR="0025703D" w:rsidRPr="0025703D" w:rsidRDefault="0025703D" w:rsidP="0025703D">
            <w:r w:rsidRPr="0025703D">
              <w:t>Art. 428-430 CP + corrupción en los negocios + malversación</w:t>
            </w:r>
          </w:p>
        </w:tc>
      </w:tr>
      <w:tr w:rsidR="0025703D" w:rsidRPr="0025703D" w14:paraId="72B65668" w14:textId="77777777">
        <w:trPr>
          <w:cantSplit/>
          <w:jc w:val="center"/>
        </w:trPr>
        <w:tc>
          <w:tcPr>
            <w:tcW w:w="0" w:type="auto"/>
            <w:tcBorders>
              <w:top w:val="nil"/>
              <w:left w:val="outset" w:sz="6" w:space="0" w:color="auto"/>
              <w:bottom w:val="outset" w:sz="6" w:space="0" w:color="auto"/>
              <w:right w:val="outset" w:sz="6" w:space="0" w:color="auto"/>
            </w:tcBorders>
            <w:hideMark/>
          </w:tcPr>
          <w:p w14:paraId="0E238BBC" w14:textId="77777777" w:rsidR="0025703D" w:rsidRPr="0025703D" w:rsidRDefault="0025703D" w:rsidP="0025703D">
            <w:r w:rsidRPr="0025703D">
              <w:rPr>
                <w:b/>
              </w:rPr>
              <w:t>Instrumento de intermediación</w:t>
            </w:r>
          </w:p>
        </w:tc>
        <w:tc>
          <w:tcPr>
            <w:tcW w:w="0" w:type="auto"/>
            <w:tcBorders>
              <w:top w:val="nil"/>
              <w:left w:val="nil"/>
              <w:bottom w:val="outset" w:sz="6" w:space="0" w:color="auto"/>
              <w:right w:val="outset" w:sz="6" w:space="0" w:color="auto"/>
            </w:tcBorders>
            <w:hideMark/>
          </w:tcPr>
          <w:p w14:paraId="04B453C3" w14:textId="77777777" w:rsidR="0025703D" w:rsidRPr="0025703D" w:rsidRDefault="0025703D" w:rsidP="0025703D">
            <w:r w:rsidRPr="0025703D">
              <w:t>Contratos de consultoría, sociedades instrumentales</w:t>
            </w:r>
          </w:p>
        </w:tc>
        <w:tc>
          <w:tcPr>
            <w:tcW w:w="0" w:type="auto"/>
            <w:tcBorders>
              <w:top w:val="nil"/>
              <w:left w:val="nil"/>
              <w:bottom w:val="outset" w:sz="6" w:space="0" w:color="auto"/>
              <w:right w:val="outset" w:sz="6" w:space="0" w:color="auto"/>
            </w:tcBorders>
            <w:hideMark/>
          </w:tcPr>
          <w:p w14:paraId="14FE169E" w14:textId="77777777" w:rsidR="0025703D" w:rsidRPr="0025703D" w:rsidRDefault="0025703D" w:rsidP="0025703D">
            <w:r w:rsidRPr="0025703D">
              <w:t>Cartas de aval, acceso a reuniones con directivos de grandes empresas</w:t>
            </w:r>
          </w:p>
        </w:tc>
      </w:tr>
      <w:tr w:rsidR="0025703D" w:rsidRPr="0025703D" w14:paraId="74AB3CC4" w14:textId="77777777">
        <w:trPr>
          <w:cantSplit/>
          <w:jc w:val="center"/>
        </w:trPr>
        <w:tc>
          <w:tcPr>
            <w:tcW w:w="0" w:type="auto"/>
            <w:tcBorders>
              <w:top w:val="nil"/>
              <w:left w:val="outset" w:sz="6" w:space="0" w:color="auto"/>
              <w:bottom w:val="outset" w:sz="6" w:space="0" w:color="auto"/>
              <w:right w:val="outset" w:sz="6" w:space="0" w:color="auto"/>
            </w:tcBorders>
            <w:hideMark/>
          </w:tcPr>
          <w:p w14:paraId="581DB7A9" w14:textId="77777777" w:rsidR="0025703D" w:rsidRPr="0025703D" w:rsidRDefault="0025703D" w:rsidP="0025703D">
            <w:r w:rsidRPr="0025703D">
              <w:rPr>
                <w:b/>
              </w:rPr>
              <w:t>Conocimiento anticipado</w:t>
            </w:r>
          </w:p>
        </w:tc>
        <w:tc>
          <w:tcPr>
            <w:tcW w:w="0" w:type="auto"/>
            <w:tcBorders>
              <w:top w:val="nil"/>
              <w:left w:val="nil"/>
              <w:bottom w:val="outset" w:sz="6" w:space="0" w:color="auto"/>
              <w:right w:val="outset" w:sz="6" w:space="0" w:color="auto"/>
            </w:tcBorders>
            <w:hideMark/>
          </w:tcPr>
          <w:p w14:paraId="071BAD2F" w14:textId="77777777" w:rsidR="0025703D" w:rsidRPr="0025703D" w:rsidRDefault="0025703D" w:rsidP="0025703D">
            <w:r w:rsidRPr="0025703D">
              <w:t>Mensajes previos a la resolución formal del FASEE</w:t>
            </w:r>
          </w:p>
        </w:tc>
        <w:tc>
          <w:tcPr>
            <w:tcW w:w="0" w:type="auto"/>
            <w:tcBorders>
              <w:top w:val="nil"/>
              <w:left w:val="nil"/>
              <w:bottom w:val="outset" w:sz="6" w:space="0" w:color="auto"/>
              <w:right w:val="outset" w:sz="6" w:space="0" w:color="auto"/>
            </w:tcBorders>
            <w:hideMark/>
          </w:tcPr>
          <w:p w14:paraId="4BCF8EEF" w14:textId="77777777" w:rsidR="0025703D" w:rsidRPr="0025703D" w:rsidRDefault="0025703D" w:rsidP="0025703D">
            <w:r w:rsidRPr="0025703D">
              <w:t>No acreditado formalmente</w:t>
            </w:r>
          </w:p>
        </w:tc>
      </w:tr>
      <w:tr w:rsidR="0025703D" w:rsidRPr="0025703D" w14:paraId="25499415" w14:textId="77777777">
        <w:trPr>
          <w:cantSplit/>
          <w:jc w:val="center"/>
        </w:trPr>
        <w:tc>
          <w:tcPr>
            <w:tcW w:w="0" w:type="auto"/>
            <w:tcBorders>
              <w:top w:val="nil"/>
              <w:left w:val="outset" w:sz="6" w:space="0" w:color="auto"/>
              <w:bottom w:val="outset" w:sz="6" w:space="0" w:color="auto"/>
              <w:right w:val="outset" w:sz="6" w:space="0" w:color="auto"/>
            </w:tcBorders>
            <w:hideMark/>
          </w:tcPr>
          <w:p w14:paraId="68471227" w14:textId="77777777" w:rsidR="0025703D" w:rsidRPr="0025703D" w:rsidRDefault="0025703D" w:rsidP="0025703D">
            <w:r w:rsidRPr="0025703D">
              <w:rPr>
                <w:b/>
              </w:rPr>
              <w:t>Conexión política interna</w:t>
            </w:r>
          </w:p>
        </w:tc>
        <w:tc>
          <w:tcPr>
            <w:tcW w:w="0" w:type="auto"/>
            <w:tcBorders>
              <w:top w:val="nil"/>
              <w:left w:val="nil"/>
              <w:bottom w:val="outset" w:sz="6" w:space="0" w:color="auto"/>
              <w:right w:val="outset" w:sz="6" w:space="0" w:color="auto"/>
            </w:tcBorders>
            <w:hideMark/>
          </w:tcPr>
          <w:p w14:paraId="09905230" w14:textId="77777777" w:rsidR="0025703D" w:rsidRPr="0025703D" w:rsidRDefault="0025703D" w:rsidP="0025703D">
            <w:r w:rsidRPr="0025703D">
              <w:t>Vía Ábalos + Vía Zapatero</w:t>
            </w:r>
          </w:p>
        </w:tc>
        <w:tc>
          <w:tcPr>
            <w:tcW w:w="0" w:type="auto"/>
            <w:tcBorders>
              <w:top w:val="nil"/>
              <w:left w:val="nil"/>
              <w:bottom w:val="outset" w:sz="6" w:space="0" w:color="auto"/>
              <w:right w:val="outset" w:sz="6" w:space="0" w:color="auto"/>
            </w:tcBorders>
            <w:hideMark/>
          </w:tcPr>
          <w:p w14:paraId="00ADC41F" w14:textId="77777777" w:rsidR="0025703D" w:rsidRPr="0025703D" w:rsidRDefault="0025703D" w:rsidP="0025703D">
            <w:r w:rsidRPr="0025703D">
              <w:t xml:space="preserve">Posición conyugal + asesora de </w:t>
            </w:r>
            <w:proofErr w:type="gramStart"/>
            <w:r w:rsidRPr="0025703D">
              <w:t>Moncloa</w:t>
            </w:r>
            <w:proofErr w:type="gramEnd"/>
            <w:r w:rsidRPr="0025703D">
              <w:t xml:space="preserve"> (Álvarez)</w:t>
            </w:r>
          </w:p>
        </w:tc>
      </w:tr>
      <w:tr w:rsidR="0025703D" w:rsidRPr="0025703D" w14:paraId="7FEB3056" w14:textId="77777777">
        <w:trPr>
          <w:cantSplit/>
          <w:jc w:val="center"/>
        </w:trPr>
        <w:tc>
          <w:tcPr>
            <w:tcW w:w="0" w:type="auto"/>
            <w:tcBorders>
              <w:top w:val="nil"/>
              <w:left w:val="outset" w:sz="6" w:space="0" w:color="auto"/>
              <w:bottom w:val="outset" w:sz="6" w:space="0" w:color="auto"/>
              <w:right w:val="outset" w:sz="6" w:space="0" w:color="auto"/>
            </w:tcBorders>
            <w:hideMark/>
          </w:tcPr>
          <w:p w14:paraId="12C2B3AA" w14:textId="77777777" w:rsidR="0025703D" w:rsidRPr="0025703D" w:rsidRDefault="0025703D" w:rsidP="0025703D">
            <w:r w:rsidRPr="0025703D">
              <w:rPr>
                <w:b/>
              </w:rPr>
              <w:t>Dimensión transnacional</w:t>
            </w:r>
          </w:p>
        </w:tc>
        <w:tc>
          <w:tcPr>
            <w:tcW w:w="0" w:type="auto"/>
            <w:tcBorders>
              <w:top w:val="nil"/>
              <w:left w:val="nil"/>
              <w:bottom w:val="outset" w:sz="6" w:space="0" w:color="auto"/>
              <w:right w:val="outset" w:sz="6" w:space="0" w:color="auto"/>
            </w:tcBorders>
            <w:hideMark/>
          </w:tcPr>
          <w:p w14:paraId="52732B0E" w14:textId="77777777" w:rsidR="0025703D" w:rsidRPr="0025703D" w:rsidRDefault="0025703D" w:rsidP="0025703D">
            <w:r w:rsidRPr="0025703D">
              <w:t xml:space="preserve">Sí (Venezuela, Dubái, </w:t>
            </w:r>
            <w:proofErr w:type="gramStart"/>
            <w:r w:rsidRPr="0025703D">
              <w:t>EE.UU.</w:t>
            </w:r>
            <w:proofErr w:type="gramEnd"/>
            <w:r w:rsidRPr="0025703D">
              <w:t>)</w:t>
            </w:r>
          </w:p>
        </w:tc>
        <w:tc>
          <w:tcPr>
            <w:tcW w:w="0" w:type="auto"/>
            <w:tcBorders>
              <w:top w:val="nil"/>
              <w:left w:val="nil"/>
              <w:bottom w:val="outset" w:sz="6" w:space="0" w:color="auto"/>
              <w:right w:val="outset" w:sz="6" w:space="0" w:color="auto"/>
            </w:tcBorders>
            <w:hideMark/>
          </w:tcPr>
          <w:p w14:paraId="27479350" w14:textId="77777777" w:rsidR="0025703D" w:rsidRPr="0025703D" w:rsidRDefault="0025703D" w:rsidP="0025703D">
            <w:r w:rsidRPr="0025703D">
              <w:t xml:space="preserve">Sí (Fiscalía Europea, contratos con fondos Next </w:t>
            </w:r>
            <w:proofErr w:type="spellStart"/>
            <w:r w:rsidRPr="0025703D">
              <w:t>Generation</w:t>
            </w:r>
            <w:proofErr w:type="spellEnd"/>
            <w:r w:rsidRPr="0025703D">
              <w:t>)</w:t>
            </w:r>
          </w:p>
        </w:tc>
      </w:tr>
      <w:tr w:rsidR="0025703D" w:rsidRPr="0025703D" w14:paraId="4C3ACD43" w14:textId="77777777">
        <w:trPr>
          <w:cantSplit/>
          <w:jc w:val="center"/>
        </w:trPr>
        <w:tc>
          <w:tcPr>
            <w:tcW w:w="0" w:type="auto"/>
            <w:tcBorders>
              <w:top w:val="nil"/>
              <w:left w:val="outset" w:sz="6" w:space="0" w:color="auto"/>
              <w:bottom w:val="outset" w:sz="6" w:space="0" w:color="auto"/>
              <w:right w:val="outset" w:sz="6" w:space="0" w:color="auto"/>
            </w:tcBorders>
            <w:hideMark/>
          </w:tcPr>
          <w:p w14:paraId="7CAA4FFF" w14:textId="77777777" w:rsidR="0025703D" w:rsidRPr="0025703D" w:rsidRDefault="0025703D" w:rsidP="0025703D">
            <w:proofErr w:type="spellStart"/>
            <w:r w:rsidRPr="0025703D">
              <w:rPr>
                <w:b/>
              </w:rPr>
              <w:t>Inverstigador</w:t>
            </w:r>
            <w:proofErr w:type="spellEnd"/>
          </w:p>
        </w:tc>
        <w:tc>
          <w:tcPr>
            <w:tcW w:w="0" w:type="auto"/>
            <w:tcBorders>
              <w:top w:val="nil"/>
              <w:left w:val="nil"/>
              <w:bottom w:val="outset" w:sz="6" w:space="0" w:color="auto"/>
              <w:right w:val="outset" w:sz="6" w:space="0" w:color="auto"/>
            </w:tcBorders>
            <w:hideMark/>
          </w:tcPr>
          <w:p w14:paraId="2CCBD41C" w14:textId="77777777" w:rsidR="0025703D" w:rsidRPr="0025703D" w:rsidRDefault="0025703D" w:rsidP="0025703D">
            <w:r w:rsidRPr="0025703D">
              <w:t>Juez Calama, Audiencia Nacional</w:t>
            </w:r>
          </w:p>
        </w:tc>
        <w:tc>
          <w:tcPr>
            <w:tcW w:w="0" w:type="auto"/>
            <w:tcBorders>
              <w:top w:val="nil"/>
              <w:left w:val="nil"/>
              <w:bottom w:val="outset" w:sz="6" w:space="0" w:color="auto"/>
              <w:right w:val="outset" w:sz="6" w:space="0" w:color="auto"/>
            </w:tcBorders>
            <w:hideMark/>
          </w:tcPr>
          <w:p w14:paraId="2295145C" w14:textId="77777777" w:rsidR="0025703D" w:rsidRPr="0025703D" w:rsidRDefault="0025703D" w:rsidP="0025703D">
            <w:r w:rsidRPr="0025703D">
              <w:t>Juez Peinado, Juzgado de Instrucción n.º 41 de Madrid</w:t>
            </w:r>
          </w:p>
        </w:tc>
      </w:tr>
      <w:tr w:rsidR="0025703D" w:rsidRPr="0025703D" w14:paraId="6553245B" w14:textId="77777777">
        <w:trPr>
          <w:cantSplit/>
          <w:jc w:val="center"/>
        </w:trPr>
        <w:tc>
          <w:tcPr>
            <w:tcW w:w="0" w:type="auto"/>
            <w:tcBorders>
              <w:top w:val="nil"/>
              <w:left w:val="outset" w:sz="6" w:space="0" w:color="auto"/>
              <w:bottom w:val="outset" w:sz="6" w:space="0" w:color="auto"/>
              <w:right w:val="outset" w:sz="6" w:space="0" w:color="auto"/>
            </w:tcBorders>
            <w:hideMark/>
          </w:tcPr>
          <w:p w14:paraId="06E153E4" w14:textId="77777777" w:rsidR="0025703D" w:rsidRPr="0025703D" w:rsidRDefault="0025703D" w:rsidP="0025703D">
            <w:r w:rsidRPr="0025703D">
              <w:rPr>
                <w:b/>
              </w:rPr>
              <w:t>Estado procesal</w:t>
            </w:r>
            <w:r w:rsidRPr="0025703D">
              <w:t xml:space="preserve"> (julio 2026)</w:t>
            </w:r>
          </w:p>
        </w:tc>
        <w:tc>
          <w:tcPr>
            <w:tcW w:w="0" w:type="auto"/>
            <w:tcBorders>
              <w:top w:val="nil"/>
              <w:left w:val="nil"/>
              <w:bottom w:val="outset" w:sz="6" w:space="0" w:color="auto"/>
              <w:right w:val="outset" w:sz="6" w:space="0" w:color="auto"/>
            </w:tcBorders>
            <w:hideMark/>
          </w:tcPr>
          <w:p w14:paraId="0D5C0F6C" w14:textId="77777777" w:rsidR="0025703D" w:rsidRPr="0025703D" w:rsidRDefault="0025703D" w:rsidP="0025703D">
            <w:r w:rsidRPr="0025703D">
              <w:t>Zapatero declaró como imputado (17.06.2026); sin medidas cautelares</w:t>
            </w:r>
          </w:p>
        </w:tc>
        <w:tc>
          <w:tcPr>
            <w:tcW w:w="0" w:type="auto"/>
            <w:tcBorders>
              <w:top w:val="nil"/>
              <w:left w:val="nil"/>
              <w:bottom w:val="outset" w:sz="6" w:space="0" w:color="auto"/>
              <w:right w:val="outset" w:sz="6" w:space="0" w:color="auto"/>
            </w:tcBorders>
            <w:hideMark/>
          </w:tcPr>
          <w:p w14:paraId="1FC8618D" w14:textId="77777777" w:rsidR="0025703D" w:rsidRPr="0025703D" w:rsidRDefault="0025703D" w:rsidP="0025703D">
            <w:r w:rsidRPr="0025703D">
              <w:t>Juicio oral con jurado popular acordado (20.06.2026); pasaporte retirado</w:t>
            </w:r>
          </w:p>
        </w:tc>
      </w:tr>
      <w:tr w:rsidR="0025703D" w:rsidRPr="0025703D" w14:paraId="0F9641B8" w14:textId="77777777">
        <w:trPr>
          <w:cantSplit/>
          <w:jc w:val="center"/>
        </w:trPr>
        <w:tc>
          <w:tcPr>
            <w:tcW w:w="0" w:type="auto"/>
            <w:tcBorders>
              <w:top w:val="nil"/>
              <w:left w:val="outset" w:sz="6" w:space="0" w:color="auto"/>
              <w:bottom w:val="outset" w:sz="6" w:space="0" w:color="auto"/>
              <w:right w:val="outset" w:sz="6" w:space="0" w:color="auto"/>
            </w:tcBorders>
            <w:hideMark/>
          </w:tcPr>
          <w:p w14:paraId="41A6917F" w14:textId="77777777" w:rsidR="0025703D" w:rsidRPr="0025703D" w:rsidRDefault="0025703D" w:rsidP="0025703D">
            <w:r w:rsidRPr="0025703D">
              <w:rPr>
                <w:b/>
              </w:rPr>
              <w:lastRenderedPageBreak/>
              <w:t>Posición de la Fiscalía</w:t>
            </w:r>
          </w:p>
        </w:tc>
        <w:tc>
          <w:tcPr>
            <w:tcW w:w="0" w:type="auto"/>
            <w:tcBorders>
              <w:top w:val="nil"/>
              <w:left w:val="nil"/>
              <w:bottom w:val="outset" w:sz="6" w:space="0" w:color="auto"/>
              <w:right w:val="outset" w:sz="6" w:space="0" w:color="auto"/>
            </w:tcBorders>
            <w:hideMark/>
          </w:tcPr>
          <w:p w14:paraId="2E289831" w14:textId="77777777" w:rsidR="0025703D" w:rsidRPr="0025703D" w:rsidRDefault="0025703D" w:rsidP="0025703D">
            <w:r w:rsidRPr="0025703D">
              <w:t>Anticorrupción asumió la causa; pidió retirada del pasaporte</w:t>
            </w:r>
          </w:p>
        </w:tc>
        <w:tc>
          <w:tcPr>
            <w:tcW w:w="0" w:type="auto"/>
            <w:tcBorders>
              <w:top w:val="nil"/>
              <w:left w:val="nil"/>
              <w:bottom w:val="outset" w:sz="6" w:space="0" w:color="auto"/>
              <w:right w:val="outset" w:sz="6" w:space="0" w:color="auto"/>
            </w:tcBorders>
            <w:hideMark/>
          </w:tcPr>
          <w:p w14:paraId="66636E95" w14:textId="77777777" w:rsidR="0025703D" w:rsidRPr="0025703D" w:rsidRDefault="0025703D" w:rsidP="0025703D">
            <w:r w:rsidRPr="0025703D">
              <w:t>Ha pedido sistemáticamente el archivo por insuficiencia de indicios</w:t>
            </w:r>
          </w:p>
        </w:tc>
      </w:tr>
    </w:tbl>
    <w:p w14:paraId="1263DF6D" w14:textId="77777777" w:rsidR="0025703D" w:rsidRPr="0025703D" w:rsidRDefault="0025703D" w:rsidP="0025703D">
      <w:r w:rsidRPr="0025703D">
        <w:t xml:space="preserve"> </w:t>
      </w:r>
    </w:p>
    <w:p w14:paraId="1C7F1930" w14:textId="77777777" w:rsidR="0025703D" w:rsidRPr="0025703D" w:rsidRDefault="0025703D" w:rsidP="0025703D">
      <w:bookmarkStart w:id="19" w:name="bm_4_1_divergencias_estructurales"/>
      <w:bookmarkEnd w:id="19"/>
      <w:r w:rsidRPr="0025703D">
        <w:rPr>
          <w:b/>
        </w:rPr>
        <w:t>4.1 Divergencias Estructurales</w:t>
      </w:r>
    </w:p>
    <w:p w14:paraId="52F60FF1" w14:textId="77777777" w:rsidR="0025703D" w:rsidRPr="0025703D" w:rsidRDefault="0025703D" w:rsidP="0025703D">
      <w:r w:rsidRPr="0025703D">
        <w:t xml:space="preserve">La diferencia fundamental entre ambos casos reside en la </w:t>
      </w:r>
      <w:r w:rsidRPr="0025703D">
        <w:rPr>
          <w:b/>
        </w:rPr>
        <w:t>naturaleza del prevalimiento</w:t>
      </w:r>
      <w:r w:rsidRPr="0025703D">
        <w:t xml:space="preserve">. En el caso Plus Ultra, la influencia se ejerce de forma </w:t>
      </w:r>
      <w:r w:rsidRPr="0025703D">
        <w:rPr>
          <w:b/>
        </w:rPr>
        <w:t>activa, directa y sistematizada</w:t>
      </w:r>
      <w:r w:rsidRPr="0025703D">
        <w:t xml:space="preserve">: hay una estructura con roles definidos, contratos firmados, pagos trazables y mensajes que acreditan el conocimiento anticipado de la resolución administrativa. El dolo es fácilmente </w:t>
      </w:r>
      <w:proofErr w:type="spellStart"/>
      <w:r w:rsidRPr="0025703D">
        <w:t>inferible</w:t>
      </w:r>
      <w:proofErr w:type="spellEnd"/>
      <w:r w:rsidRPr="0025703D">
        <w:t xml:space="preserve"> de la actuación coordinada y la arquitectura financiera diseñada para ocultar el origen y destino de los fondos.</w:t>
      </w:r>
    </w:p>
    <w:p w14:paraId="44CE71A8" w14:textId="77777777" w:rsidR="0025703D" w:rsidRPr="0025703D" w:rsidRDefault="0025703D" w:rsidP="0025703D">
      <w:r w:rsidRPr="0025703D">
        <w:t xml:space="preserve">En el caso Begoña Gómez, el prevalimiento es de naturaleza </w:t>
      </w:r>
      <w:r w:rsidRPr="0025703D">
        <w:rPr>
          <w:b/>
        </w:rPr>
        <w:t>estructural y simbólica</w:t>
      </w:r>
      <w:r w:rsidRPr="0025703D">
        <w:t>: no hay mensajes de presión explícita, no hay estructura jerarquizada ni pagos directos a Gómez por las adjudicaciones. La Fiscalía ha señalado precisamente esta debilidad al afirmar que la mera posición conyugal no puede presumirse como elemento típico del delito. La discrepancia entre el instructor y el Ministerio Público es, en sí misma, indicativa de la complejidad probatoria de esta modalidad de tráfico de influencias.</w:t>
      </w:r>
    </w:p>
    <w:p w14:paraId="3EEB2375" w14:textId="77777777" w:rsidR="0025703D" w:rsidRPr="0025703D" w:rsidRDefault="0025703D" w:rsidP="0025703D">
      <w:bookmarkStart w:id="20" w:name="bm_4_2_convergencias_metodológicas"/>
      <w:bookmarkEnd w:id="20"/>
      <w:r w:rsidRPr="0025703D">
        <w:rPr>
          <w:b/>
        </w:rPr>
        <w:t>4.2 Convergencias Metodológicas</w:t>
      </w:r>
    </w:p>
    <w:p w14:paraId="5DBC08C8" w14:textId="77777777" w:rsidR="0025703D" w:rsidRPr="0025703D" w:rsidRDefault="0025703D" w:rsidP="0025703D">
      <w:r w:rsidRPr="0025703D">
        <w:t xml:space="preserve">A pesar de las diferencias, ambos casos comparten patrones estructurales que permiten hablar de un </w:t>
      </w:r>
      <w:r w:rsidRPr="0025703D">
        <w:rPr>
          <w:b/>
        </w:rPr>
        <w:t>método sistémico de captura</w:t>
      </w:r>
      <w:r w:rsidRPr="0025703D">
        <w:t>:</w:t>
      </w:r>
    </w:p>
    <w:p w14:paraId="11A9D33A" w14:textId="77777777" w:rsidR="0025703D" w:rsidRPr="0025703D" w:rsidRDefault="0025703D" w:rsidP="0025703D">
      <w:pPr>
        <w:numPr>
          <w:ilvl w:val="0"/>
          <w:numId w:val="7"/>
        </w:numPr>
        <w:tabs>
          <w:tab w:val="clear" w:pos="0"/>
          <w:tab w:val="clear" w:pos="675"/>
        </w:tabs>
      </w:pPr>
      <w:r w:rsidRPr="0025703D">
        <w:t xml:space="preserve">La </w:t>
      </w:r>
      <w:r w:rsidRPr="0025703D">
        <w:rPr>
          <w:b/>
        </w:rPr>
        <w:t>institución pública como correa de transmisión</w:t>
      </w:r>
      <w:r w:rsidRPr="0025703D">
        <w:t xml:space="preserve"> (SEPI-FASEE en un caso; UCM y </w:t>
      </w:r>
      <w:hyperlink r:id="rId24" w:history="1">
        <w:r w:rsidRPr="0025703D">
          <w:rPr>
            <w:rStyle w:val="Hipervnculo"/>
          </w:rPr>
          <w:t>Red.es</w:t>
        </w:r>
      </w:hyperlink>
      <w:r w:rsidRPr="0025703D">
        <w:t xml:space="preserve"> en otro)</w:t>
      </w:r>
    </w:p>
    <w:p w14:paraId="3B190122" w14:textId="77777777" w:rsidR="0025703D" w:rsidRPr="0025703D" w:rsidRDefault="0025703D" w:rsidP="0025703D">
      <w:pPr>
        <w:numPr>
          <w:ilvl w:val="0"/>
          <w:numId w:val="7"/>
        </w:numPr>
        <w:tabs>
          <w:tab w:val="clear" w:pos="0"/>
          <w:tab w:val="clear" w:pos="675"/>
        </w:tabs>
      </w:pPr>
      <w:r w:rsidRPr="0025703D">
        <w:t xml:space="preserve">El </w:t>
      </w:r>
      <w:r w:rsidRPr="0025703D">
        <w:rPr>
          <w:b/>
        </w:rPr>
        <w:t>intermediario operativo</w:t>
      </w:r>
      <w:r w:rsidRPr="0025703D">
        <w:t xml:space="preserve"> como amortiguador (Julio Martínez en Plus Ultra; Barrabés en el caso Gómez)</w:t>
      </w:r>
    </w:p>
    <w:p w14:paraId="494D3D82" w14:textId="77777777" w:rsidR="0025703D" w:rsidRPr="0025703D" w:rsidRDefault="0025703D" w:rsidP="0025703D">
      <w:pPr>
        <w:numPr>
          <w:ilvl w:val="0"/>
          <w:numId w:val="7"/>
        </w:numPr>
        <w:tabs>
          <w:tab w:val="clear" w:pos="0"/>
          <w:tab w:val="clear" w:pos="675"/>
        </w:tabs>
      </w:pPr>
      <w:r w:rsidRPr="0025703D">
        <w:t xml:space="preserve">La </w:t>
      </w:r>
      <w:r w:rsidRPr="0025703D">
        <w:rPr>
          <w:b/>
        </w:rPr>
        <w:t>documentación formal</w:t>
      </w:r>
      <w:r w:rsidRPr="0025703D">
        <w:t xml:space="preserve"> como pantalla de legitimidad (contratos de asesoría ad hoc; cartas de apoyo universitarias)</w:t>
      </w:r>
    </w:p>
    <w:p w14:paraId="333D7AFF" w14:textId="77777777" w:rsidR="0025703D" w:rsidRPr="0025703D" w:rsidRDefault="0025703D" w:rsidP="0025703D">
      <w:pPr>
        <w:numPr>
          <w:ilvl w:val="0"/>
          <w:numId w:val="7"/>
        </w:numPr>
        <w:tabs>
          <w:tab w:val="clear" w:pos="0"/>
          <w:tab w:val="clear" w:pos="675"/>
        </w:tabs>
      </w:pPr>
      <w:r w:rsidRPr="0025703D">
        <w:t xml:space="preserve">El </w:t>
      </w:r>
      <w:r w:rsidRPr="0025703D">
        <w:rPr>
          <w:b/>
        </w:rPr>
        <w:t>conocimiento privilegiado</w:t>
      </w:r>
      <w:r w:rsidRPr="0025703D">
        <w:t xml:space="preserve"> como activo más valioso (mensajes previos a la resolución; acceso a directivos antes de las licitaciones)</w:t>
      </w:r>
    </w:p>
    <w:p w14:paraId="58A44926" w14:textId="77777777" w:rsidR="0025703D" w:rsidRPr="0025703D" w:rsidRDefault="0025703D" w:rsidP="0025703D">
      <w:pPr>
        <w:numPr>
          <w:ilvl w:val="0"/>
          <w:numId w:val="7"/>
        </w:numPr>
        <w:tabs>
          <w:tab w:val="clear" w:pos="0"/>
          <w:tab w:val="clear" w:pos="675"/>
        </w:tabs>
      </w:pPr>
      <w:r w:rsidRPr="0025703D">
        <w:t xml:space="preserve">La </w:t>
      </w:r>
      <w:r w:rsidRPr="0025703D">
        <w:rPr>
          <w:b/>
        </w:rPr>
        <w:t>conexión política de más alto nivel</w:t>
      </w:r>
      <w:r w:rsidRPr="0025703D">
        <w:t xml:space="preserve"> como garante último de la cadena (presidencia o </w:t>
      </w:r>
      <w:proofErr w:type="spellStart"/>
      <w:r w:rsidRPr="0025703D">
        <w:t>expresidencia</w:t>
      </w:r>
      <w:proofErr w:type="spellEnd"/>
      <w:r w:rsidRPr="0025703D">
        <w:t xml:space="preserve"> del Gobierno)</w:t>
      </w:r>
    </w:p>
    <w:p w14:paraId="31971FB5" w14:textId="1564291F" w:rsidR="0025703D" w:rsidRPr="0025703D" w:rsidRDefault="0025703D" w:rsidP="0025703D">
      <w:r w:rsidRPr="0025703D">
        <w:drawing>
          <wp:inline distT="0" distB="0" distL="0" distR="0" wp14:anchorId="320A9DC0" wp14:editId="1227A150">
            <wp:extent cx="5400040" cy="8255"/>
            <wp:effectExtent l="0" t="0" r="0" b="0"/>
            <wp:docPr id="142510691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0DA8219F" w14:textId="77777777" w:rsidR="0025703D" w:rsidRPr="0025703D" w:rsidRDefault="0025703D" w:rsidP="0025703D">
      <w:bookmarkStart w:id="21" w:name="bm_5_derivadas_jurídicas_retos_pr_3b9cb5"/>
      <w:bookmarkEnd w:id="21"/>
      <w:r w:rsidRPr="0025703D">
        <w:rPr>
          <w:b/>
        </w:rPr>
        <w:t>5. Derivadas Jurídicas: Retos Probatorios y Dificultades Procesales</w:t>
      </w:r>
    </w:p>
    <w:p w14:paraId="061E9374" w14:textId="77777777" w:rsidR="0025703D" w:rsidRPr="0025703D" w:rsidRDefault="0025703D" w:rsidP="0025703D">
      <w:bookmarkStart w:id="22" w:name="bm_5_1_el_problema_del_dolo_y_la_f2bcdb"/>
      <w:bookmarkEnd w:id="22"/>
      <w:r w:rsidRPr="0025703D">
        <w:rPr>
          <w:b/>
        </w:rPr>
        <w:t>5.1 El Problema del Dolo y la Presión Implícita</w:t>
      </w:r>
    </w:p>
    <w:p w14:paraId="5E0B6F94" w14:textId="77777777" w:rsidR="0025703D" w:rsidRPr="0025703D" w:rsidRDefault="0025703D" w:rsidP="0025703D">
      <w:r w:rsidRPr="0025703D">
        <w:t xml:space="preserve">El mayor reto probatorio en el delito de tráfico de influencias no es demostrar que se tomó una resolución favorable, sino acreditar que </w:t>
      </w:r>
      <w:r w:rsidRPr="0025703D">
        <w:rPr>
          <w:b/>
        </w:rPr>
        <w:t>fue la influencia —y no los méritos objetivos de la solicitud— la que determinó esa resolución</w:t>
      </w:r>
      <w:r w:rsidRPr="0025703D">
        <w:t>. Esta causalidad entre la presión y el resultado es sistemáticamente impugnable por las defensas, que pueden alegar que los fondos o contratos se habrían concedido igualmente por méritos propios.</w:t>
      </w:r>
    </w:p>
    <w:p w14:paraId="77C46192" w14:textId="77777777" w:rsidR="0025703D" w:rsidRPr="0025703D" w:rsidRDefault="0025703D" w:rsidP="0025703D">
      <w:r w:rsidRPr="0025703D">
        <w:t>La solución probatoria que emerge de la jurisprudencia combina:</w:t>
      </w:r>
    </w:p>
    <w:p w14:paraId="43E011F4" w14:textId="77777777" w:rsidR="0025703D" w:rsidRPr="0025703D" w:rsidRDefault="0025703D" w:rsidP="0025703D">
      <w:pPr>
        <w:numPr>
          <w:ilvl w:val="0"/>
          <w:numId w:val="8"/>
        </w:numPr>
        <w:tabs>
          <w:tab w:val="clear" w:pos="0"/>
          <w:tab w:val="clear" w:pos="675"/>
        </w:tabs>
      </w:pPr>
      <w:r w:rsidRPr="0025703D">
        <w:rPr>
          <w:b/>
        </w:rPr>
        <w:lastRenderedPageBreak/>
        <w:t>Cronología</w:t>
      </w:r>
      <w:r w:rsidRPr="0025703D">
        <w:t>: la proximidad temporal entre el ejercicio de la influencia y la resolución favorable</w:t>
      </w:r>
    </w:p>
    <w:p w14:paraId="061D977C" w14:textId="77777777" w:rsidR="0025703D" w:rsidRPr="0025703D" w:rsidRDefault="0025703D" w:rsidP="0025703D">
      <w:pPr>
        <w:numPr>
          <w:ilvl w:val="0"/>
          <w:numId w:val="8"/>
        </w:numPr>
        <w:tabs>
          <w:tab w:val="clear" w:pos="0"/>
          <w:tab w:val="clear" w:pos="675"/>
        </w:tabs>
      </w:pPr>
      <w:r w:rsidRPr="0025703D">
        <w:rPr>
          <w:b/>
        </w:rPr>
        <w:t>Acceso a información privilegiada</w:t>
      </w:r>
      <w:r w:rsidRPr="0025703D">
        <w:t xml:space="preserve">: el conocimiento anticipado de la resolución antes de su publicación oficial es el </w:t>
      </w:r>
      <w:proofErr w:type="spellStart"/>
      <w:r w:rsidRPr="0025703D">
        <w:t>indicicio</w:t>
      </w:r>
      <w:proofErr w:type="spellEnd"/>
      <w:r w:rsidRPr="0025703D">
        <w:t xml:space="preserve"> más sólido disponible</w:t>
      </w:r>
    </w:p>
    <w:p w14:paraId="38491B5B" w14:textId="77777777" w:rsidR="0025703D" w:rsidRPr="0025703D" w:rsidRDefault="0025703D" w:rsidP="0025703D">
      <w:pPr>
        <w:numPr>
          <w:ilvl w:val="0"/>
          <w:numId w:val="8"/>
        </w:numPr>
        <w:tabs>
          <w:tab w:val="clear" w:pos="0"/>
          <w:tab w:val="clear" w:pos="675"/>
        </w:tabs>
      </w:pPr>
      <w:proofErr w:type="spellStart"/>
      <w:r w:rsidRPr="0025703D">
        <w:rPr>
          <w:b/>
        </w:rPr>
        <w:t>Contradocumentación</w:t>
      </w:r>
      <w:proofErr w:type="spellEnd"/>
      <w:r w:rsidRPr="0025703D">
        <w:rPr>
          <w:b/>
        </w:rPr>
        <w:t xml:space="preserve"> financiera</w:t>
      </w:r>
      <w:r w:rsidRPr="0025703D">
        <w:t>: la existencia de pagos hacia el influyente —especialmente si se canalizan por vías opacas— permite inferir que existe una contraprestación real</w:t>
      </w:r>
    </w:p>
    <w:p w14:paraId="67AB4B72" w14:textId="77777777" w:rsidR="0025703D" w:rsidRPr="0025703D" w:rsidRDefault="0025703D" w:rsidP="0025703D">
      <w:bookmarkStart w:id="23" w:name="bm_5_2_la_cuestión_del_artículo_4_8b5dde"/>
      <w:bookmarkEnd w:id="23"/>
      <w:r w:rsidRPr="0025703D">
        <w:rPr>
          <w:b/>
        </w:rPr>
        <w:t>5.2 La Cuestión del Artículo 428 frente al 429: ¿Quién es el Sujeto Activo?</w:t>
      </w:r>
    </w:p>
    <w:p w14:paraId="317A4901" w14:textId="77777777" w:rsidR="0025703D" w:rsidRPr="0025703D" w:rsidRDefault="0025703D" w:rsidP="0025703D">
      <w:r w:rsidRPr="0025703D">
        <w:t>El auto del caso Begoña Gómez imputa, con carácter principal, el artículo 428 (funcionario público) y, subsidiariamente, los artículos 429 y 430 CP. Esta ambivalencia tiene consecuencias sustantivas:</w:t>
      </w:r>
    </w:p>
    <w:p w14:paraId="3B4F771E" w14:textId="77777777" w:rsidR="0025703D" w:rsidRPr="0025703D" w:rsidRDefault="0025703D" w:rsidP="0025703D">
      <w:pPr>
        <w:numPr>
          <w:ilvl w:val="0"/>
          <w:numId w:val="9"/>
        </w:numPr>
        <w:tabs>
          <w:tab w:val="clear" w:pos="0"/>
          <w:tab w:val="clear" w:pos="675"/>
        </w:tabs>
      </w:pPr>
      <w:r w:rsidRPr="0025703D">
        <w:t xml:space="preserve">Si Gómez es calificada como </w:t>
      </w:r>
      <w:r w:rsidRPr="0025703D">
        <w:rPr>
          <w:b/>
        </w:rPr>
        <w:t>autoridad o funcionaria</w:t>
      </w:r>
      <w:r w:rsidRPr="0025703D">
        <w:t xml:space="preserve"> (art. 428), el delito es especial y la pena accesoria es la inhabilitación para cargo público</w:t>
      </w:r>
    </w:p>
    <w:p w14:paraId="729985DF" w14:textId="77777777" w:rsidR="0025703D" w:rsidRPr="0025703D" w:rsidRDefault="0025703D" w:rsidP="0025703D">
      <w:pPr>
        <w:numPr>
          <w:ilvl w:val="0"/>
          <w:numId w:val="9"/>
        </w:numPr>
        <w:tabs>
          <w:tab w:val="clear" w:pos="0"/>
          <w:tab w:val="clear" w:pos="675"/>
        </w:tabs>
      </w:pPr>
      <w:r w:rsidRPr="0025703D">
        <w:t xml:space="preserve">Si es considerada </w:t>
      </w:r>
      <w:r w:rsidRPr="0025703D">
        <w:rPr>
          <w:b/>
        </w:rPr>
        <w:t>particular</w:t>
      </w:r>
      <w:r w:rsidRPr="0025703D">
        <w:t xml:space="preserve"> (art. 429), la acusación debe demostrar el "prevalimiento de su relación personal" con una autoridad o funcionario de forma concreta, lo que exige probar que esa relación fue el mecanismo efectivo de la presión</w:t>
      </w:r>
    </w:p>
    <w:p w14:paraId="06B1C343" w14:textId="77777777" w:rsidR="0025703D" w:rsidRPr="0025703D" w:rsidRDefault="0025703D" w:rsidP="0025703D">
      <w:pPr>
        <w:numPr>
          <w:ilvl w:val="0"/>
          <w:numId w:val="9"/>
        </w:numPr>
        <w:tabs>
          <w:tab w:val="clear" w:pos="0"/>
          <w:tab w:val="clear" w:pos="675"/>
        </w:tabs>
      </w:pPr>
      <w:r w:rsidRPr="0025703D">
        <w:t>El artículo 430 (mera oferta o venta de influencias) es el tipo más fácil de acreditar, pero también el de menor pena</w:t>
      </w:r>
    </w:p>
    <w:p w14:paraId="6C9C8F91" w14:textId="77777777" w:rsidR="0025703D" w:rsidRPr="0025703D" w:rsidRDefault="0025703D" w:rsidP="0025703D">
      <w:r w:rsidRPr="0025703D">
        <w:t xml:space="preserve">En el caso Plus Ultra, los delitos de blanqueo (art. 301 CP) y organización criminal operan como </w:t>
      </w:r>
      <w:r w:rsidRPr="0025703D">
        <w:rPr>
          <w:b/>
        </w:rPr>
        <w:t>refuerzo tipológico</w:t>
      </w:r>
      <w:r w:rsidRPr="0025703D">
        <w:t xml:space="preserve"> que eleva la gravedad de la acusación y dificulta la defensa: incluso si se debilita el caso de tráfico de influencias, los flujos financieros </w:t>
      </w:r>
      <w:proofErr w:type="gramStart"/>
      <w:r w:rsidRPr="0025703D">
        <w:t>offshore</w:t>
      </w:r>
      <w:proofErr w:type="gramEnd"/>
      <w:r w:rsidRPr="0025703D">
        <w:t xml:space="preserve"> y las sociedades instrumentales sostienen autónomamente la imputación por blanqueo.</w:t>
      </w:r>
    </w:p>
    <w:p w14:paraId="4D3CB0A6" w14:textId="77777777" w:rsidR="0025703D" w:rsidRPr="0025703D" w:rsidRDefault="0025703D" w:rsidP="0025703D">
      <w:bookmarkStart w:id="24" w:name="bm_5_3_elementos_probatorios_requ_c45add"/>
      <w:bookmarkEnd w:id="24"/>
      <w:r w:rsidRPr="0025703D">
        <w:rPr>
          <w:b/>
        </w:rPr>
        <w:t>5.3 Elementos Probatorios Requeridos: Estándar Diferencial</w:t>
      </w:r>
    </w:p>
    <w:tbl>
      <w:tblPr>
        <w:tblW w:w="0" w:type="auto"/>
        <w:jc w:val="center"/>
        <w:tblCellMar>
          <w:top w:w="15" w:type="dxa"/>
          <w:left w:w="15" w:type="dxa"/>
          <w:bottom w:w="15" w:type="dxa"/>
          <w:right w:w="15" w:type="dxa"/>
        </w:tblCellMar>
        <w:tblLook w:val="04A0" w:firstRow="1" w:lastRow="0" w:firstColumn="1" w:lastColumn="0" w:noHBand="0" w:noVBand="1"/>
      </w:tblPr>
      <w:tblGrid>
        <w:gridCol w:w="1898"/>
        <w:gridCol w:w="3156"/>
        <w:gridCol w:w="3434"/>
      </w:tblGrid>
      <w:tr w:rsidR="0025703D" w:rsidRPr="0025703D" w14:paraId="52B2EB0B"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2C51BDA0" w14:textId="77777777" w:rsidR="0025703D" w:rsidRPr="0025703D" w:rsidRDefault="0025703D" w:rsidP="0025703D">
            <w:r w:rsidRPr="0025703D">
              <w:t>Elemento</w:t>
            </w:r>
          </w:p>
        </w:tc>
        <w:tc>
          <w:tcPr>
            <w:tcW w:w="0" w:type="auto"/>
            <w:tcBorders>
              <w:top w:val="outset" w:sz="6" w:space="0" w:color="auto"/>
              <w:left w:val="nil"/>
              <w:bottom w:val="outset" w:sz="6" w:space="0" w:color="auto"/>
              <w:right w:val="outset" w:sz="6" w:space="0" w:color="auto"/>
            </w:tcBorders>
            <w:hideMark/>
          </w:tcPr>
          <w:p w14:paraId="56E47D7D" w14:textId="77777777" w:rsidR="0025703D" w:rsidRPr="0025703D" w:rsidRDefault="0025703D" w:rsidP="0025703D">
            <w:r w:rsidRPr="0025703D">
              <w:t>Plus Ultra</w:t>
            </w:r>
          </w:p>
        </w:tc>
        <w:tc>
          <w:tcPr>
            <w:tcW w:w="0" w:type="auto"/>
            <w:tcBorders>
              <w:top w:val="outset" w:sz="6" w:space="0" w:color="auto"/>
              <w:left w:val="nil"/>
              <w:bottom w:val="outset" w:sz="6" w:space="0" w:color="auto"/>
              <w:right w:val="outset" w:sz="6" w:space="0" w:color="auto"/>
            </w:tcBorders>
            <w:hideMark/>
          </w:tcPr>
          <w:p w14:paraId="16AF0080" w14:textId="77777777" w:rsidR="0025703D" w:rsidRPr="0025703D" w:rsidRDefault="0025703D" w:rsidP="0025703D">
            <w:r w:rsidRPr="0025703D">
              <w:t>Begoña Gómez</w:t>
            </w:r>
          </w:p>
        </w:tc>
      </w:tr>
      <w:tr w:rsidR="0025703D" w:rsidRPr="0025703D" w14:paraId="6B902D85" w14:textId="77777777">
        <w:trPr>
          <w:cantSplit/>
          <w:jc w:val="center"/>
        </w:trPr>
        <w:tc>
          <w:tcPr>
            <w:tcW w:w="0" w:type="auto"/>
            <w:tcBorders>
              <w:top w:val="nil"/>
              <w:left w:val="outset" w:sz="6" w:space="0" w:color="auto"/>
              <w:bottom w:val="outset" w:sz="6" w:space="0" w:color="auto"/>
              <w:right w:val="outset" w:sz="6" w:space="0" w:color="auto"/>
            </w:tcBorders>
            <w:hideMark/>
          </w:tcPr>
          <w:p w14:paraId="34EFD5D8" w14:textId="77777777" w:rsidR="0025703D" w:rsidRPr="0025703D" w:rsidRDefault="0025703D" w:rsidP="0025703D">
            <w:r w:rsidRPr="0025703D">
              <w:t>Acreditación de la influencia ejercida</w:t>
            </w:r>
          </w:p>
        </w:tc>
        <w:tc>
          <w:tcPr>
            <w:tcW w:w="0" w:type="auto"/>
            <w:tcBorders>
              <w:top w:val="nil"/>
              <w:left w:val="nil"/>
              <w:bottom w:val="outset" w:sz="6" w:space="0" w:color="auto"/>
              <w:right w:val="outset" w:sz="6" w:space="0" w:color="auto"/>
            </w:tcBorders>
            <w:hideMark/>
          </w:tcPr>
          <w:p w14:paraId="6FEB98EE" w14:textId="77777777" w:rsidR="0025703D" w:rsidRPr="0025703D" w:rsidRDefault="0025703D" w:rsidP="0025703D">
            <w:r w:rsidRPr="0025703D">
              <w:t>Mensajes previos a la resolución; contratos de asesoría con Plus Ultra</w:t>
            </w:r>
          </w:p>
        </w:tc>
        <w:tc>
          <w:tcPr>
            <w:tcW w:w="0" w:type="auto"/>
            <w:tcBorders>
              <w:top w:val="nil"/>
              <w:left w:val="nil"/>
              <w:bottom w:val="outset" w:sz="6" w:space="0" w:color="auto"/>
              <w:right w:val="outset" w:sz="6" w:space="0" w:color="auto"/>
            </w:tcBorders>
            <w:hideMark/>
          </w:tcPr>
          <w:p w14:paraId="3C56DE05" w14:textId="77777777" w:rsidR="0025703D" w:rsidRPr="0025703D" w:rsidRDefault="0025703D" w:rsidP="0025703D">
            <w:r w:rsidRPr="0025703D">
              <w:t>Reuniones con directivos sin presencia de la UCM; cartas de apoyo en licitaciones</w:t>
            </w:r>
          </w:p>
        </w:tc>
      </w:tr>
      <w:tr w:rsidR="0025703D" w:rsidRPr="0025703D" w14:paraId="3FA9478F" w14:textId="77777777">
        <w:trPr>
          <w:cantSplit/>
          <w:jc w:val="center"/>
        </w:trPr>
        <w:tc>
          <w:tcPr>
            <w:tcW w:w="0" w:type="auto"/>
            <w:tcBorders>
              <w:top w:val="nil"/>
              <w:left w:val="outset" w:sz="6" w:space="0" w:color="auto"/>
              <w:bottom w:val="outset" w:sz="6" w:space="0" w:color="auto"/>
              <w:right w:val="outset" w:sz="6" w:space="0" w:color="auto"/>
            </w:tcBorders>
            <w:hideMark/>
          </w:tcPr>
          <w:p w14:paraId="152F4101" w14:textId="77777777" w:rsidR="0025703D" w:rsidRPr="0025703D" w:rsidRDefault="0025703D" w:rsidP="0025703D">
            <w:r w:rsidRPr="0025703D">
              <w:t>Prevalimiento concreto</w:t>
            </w:r>
          </w:p>
        </w:tc>
        <w:tc>
          <w:tcPr>
            <w:tcW w:w="0" w:type="auto"/>
            <w:tcBorders>
              <w:top w:val="nil"/>
              <w:left w:val="nil"/>
              <w:bottom w:val="outset" w:sz="6" w:space="0" w:color="auto"/>
              <w:right w:val="outset" w:sz="6" w:space="0" w:color="auto"/>
            </w:tcBorders>
            <w:hideMark/>
          </w:tcPr>
          <w:p w14:paraId="50DD763D" w14:textId="77777777" w:rsidR="0025703D" w:rsidRPr="0025703D" w:rsidRDefault="0025703D" w:rsidP="0025703D">
            <w:r w:rsidRPr="0025703D">
              <w:t>Expresidente + red organizativa + acceso a Administración</w:t>
            </w:r>
          </w:p>
        </w:tc>
        <w:tc>
          <w:tcPr>
            <w:tcW w:w="0" w:type="auto"/>
            <w:tcBorders>
              <w:top w:val="nil"/>
              <w:left w:val="nil"/>
              <w:bottom w:val="outset" w:sz="6" w:space="0" w:color="auto"/>
              <w:right w:val="outset" w:sz="6" w:space="0" w:color="auto"/>
            </w:tcBorders>
            <w:hideMark/>
          </w:tcPr>
          <w:p w14:paraId="5B0DE8D0" w14:textId="77777777" w:rsidR="0025703D" w:rsidRPr="0025703D" w:rsidRDefault="0025703D" w:rsidP="0025703D">
            <w:r w:rsidRPr="0025703D">
              <w:t>Condición de cónyuge del presidente (debatido por Fiscalía)</w:t>
            </w:r>
          </w:p>
        </w:tc>
      </w:tr>
      <w:tr w:rsidR="0025703D" w:rsidRPr="0025703D" w14:paraId="3B0F5228" w14:textId="77777777">
        <w:trPr>
          <w:cantSplit/>
          <w:jc w:val="center"/>
        </w:trPr>
        <w:tc>
          <w:tcPr>
            <w:tcW w:w="0" w:type="auto"/>
            <w:tcBorders>
              <w:top w:val="nil"/>
              <w:left w:val="outset" w:sz="6" w:space="0" w:color="auto"/>
              <w:bottom w:val="outset" w:sz="6" w:space="0" w:color="auto"/>
              <w:right w:val="outset" w:sz="6" w:space="0" w:color="auto"/>
            </w:tcBorders>
            <w:hideMark/>
          </w:tcPr>
          <w:p w14:paraId="5C2B042D" w14:textId="77777777" w:rsidR="0025703D" w:rsidRPr="0025703D" w:rsidRDefault="0025703D" w:rsidP="0025703D">
            <w:r w:rsidRPr="0025703D">
              <w:t>Nexo causal influencia-resolución</w:t>
            </w:r>
          </w:p>
        </w:tc>
        <w:tc>
          <w:tcPr>
            <w:tcW w:w="0" w:type="auto"/>
            <w:tcBorders>
              <w:top w:val="nil"/>
              <w:left w:val="nil"/>
              <w:bottom w:val="outset" w:sz="6" w:space="0" w:color="auto"/>
              <w:right w:val="outset" w:sz="6" w:space="0" w:color="auto"/>
            </w:tcBorders>
            <w:hideMark/>
          </w:tcPr>
          <w:p w14:paraId="794C1A45" w14:textId="77777777" w:rsidR="0025703D" w:rsidRPr="0025703D" w:rsidRDefault="0025703D" w:rsidP="0025703D">
            <w:r w:rsidRPr="0025703D">
              <w:t>Acceso anticipado a la resolución del FASEE; pagos inmediatamente posteriores</w:t>
            </w:r>
          </w:p>
        </w:tc>
        <w:tc>
          <w:tcPr>
            <w:tcW w:w="0" w:type="auto"/>
            <w:tcBorders>
              <w:top w:val="nil"/>
              <w:left w:val="nil"/>
              <w:bottom w:val="outset" w:sz="6" w:space="0" w:color="auto"/>
              <w:right w:val="outset" w:sz="6" w:space="0" w:color="auto"/>
            </w:tcBorders>
            <w:hideMark/>
          </w:tcPr>
          <w:p w14:paraId="7798C6CB" w14:textId="77777777" w:rsidR="0025703D" w:rsidRPr="0025703D" w:rsidRDefault="0025703D" w:rsidP="0025703D">
            <w:r w:rsidRPr="0025703D">
              <w:t>Cronología adjudicaciones / cartas de apoyo; adulteraciones en oferta técnica</w:t>
            </w:r>
          </w:p>
        </w:tc>
      </w:tr>
      <w:tr w:rsidR="0025703D" w:rsidRPr="0025703D" w14:paraId="56E254E9" w14:textId="77777777">
        <w:trPr>
          <w:cantSplit/>
          <w:jc w:val="center"/>
        </w:trPr>
        <w:tc>
          <w:tcPr>
            <w:tcW w:w="0" w:type="auto"/>
            <w:tcBorders>
              <w:top w:val="nil"/>
              <w:left w:val="outset" w:sz="6" w:space="0" w:color="auto"/>
              <w:bottom w:val="outset" w:sz="6" w:space="0" w:color="auto"/>
              <w:right w:val="outset" w:sz="6" w:space="0" w:color="auto"/>
            </w:tcBorders>
            <w:hideMark/>
          </w:tcPr>
          <w:p w14:paraId="55CF9E79" w14:textId="77777777" w:rsidR="0025703D" w:rsidRPr="0025703D" w:rsidRDefault="0025703D" w:rsidP="0025703D">
            <w:r w:rsidRPr="0025703D">
              <w:t>Beneficio económico</w:t>
            </w:r>
          </w:p>
        </w:tc>
        <w:tc>
          <w:tcPr>
            <w:tcW w:w="0" w:type="auto"/>
            <w:tcBorders>
              <w:top w:val="nil"/>
              <w:left w:val="nil"/>
              <w:bottom w:val="outset" w:sz="6" w:space="0" w:color="auto"/>
              <w:right w:val="outset" w:sz="6" w:space="0" w:color="auto"/>
            </w:tcBorders>
            <w:hideMark/>
          </w:tcPr>
          <w:p w14:paraId="18FF6EE9" w14:textId="77777777" w:rsidR="0025703D" w:rsidRPr="0025703D" w:rsidRDefault="0025703D" w:rsidP="0025703D">
            <w:r w:rsidRPr="0025703D">
              <w:t>Comisiones de 2-4 M€ trazables por transferencia</w:t>
            </w:r>
          </w:p>
        </w:tc>
        <w:tc>
          <w:tcPr>
            <w:tcW w:w="0" w:type="auto"/>
            <w:tcBorders>
              <w:top w:val="nil"/>
              <w:left w:val="nil"/>
              <w:bottom w:val="outset" w:sz="6" w:space="0" w:color="auto"/>
              <w:right w:val="outset" w:sz="6" w:space="0" w:color="auto"/>
            </w:tcBorders>
            <w:hideMark/>
          </w:tcPr>
          <w:p w14:paraId="1A4EAA27" w14:textId="77777777" w:rsidR="0025703D" w:rsidRPr="0025703D" w:rsidRDefault="0025703D" w:rsidP="0025703D">
            <w:r w:rsidRPr="0025703D">
              <w:t>Adjudicaciones a empresas de Barrabés (12,1 M€); no hay cobros directos acreditados a Gómez</w:t>
            </w:r>
          </w:p>
        </w:tc>
      </w:tr>
      <w:tr w:rsidR="0025703D" w:rsidRPr="0025703D" w14:paraId="1E64B033" w14:textId="77777777">
        <w:trPr>
          <w:cantSplit/>
          <w:jc w:val="center"/>
        </w:trPr>
        <w:tc>
          <w:tcPr>
            <w:tcW w:w="0" w:type="auto"/>
            <w:tcBorders>
              <w:top w:val="nil"/>
              <w:left w:val="outset" w:sz="6" w:space="0" w:color="auto"/>
              <w:bottom w:val="outset" w:sz="6" w:space="0" w:color="auto"/>
              <w:right w:val="outset" w:sz="6" w:space="0" w:color="auto"/>
            </w:tcBorders>
            <w:hideMark/>
          </w:tcPr>
          <w:p w14:paraId="43E05812" w14:textId="77777777" w:rsidR="0025703D" w:rsidRPr="0025703D" w:rsidRDefault="0025703D" w:rsidP="0025703D">
            <w:r w:rsidRPr="0025703D">
              <w:lastRenderedPageBreak/>
              <w:t>Dolo acreditado</w:t>
            </w:r>
          </w:p>
        </w:tc>
        <w:tc>
          <w:tcPr>
            <w:tcW w:w="0" w:type="auto"/>
            <w:tcBorders>
              <w:top w:val="nil"/>
              <w:left w:val="nil"/>
              <w:bottom w:val="outset" w:sz="6" w:space="0" w:color="auto"/>
              <w:right w:val="outset" w:sz="6" w:space="0" w:color="auto"/>
            </w:tcBorders>
            <w:hideMark/>
          </w:tcPr>
          <w:p w14:paraId="109F73D2" w14:textId="77777777" w:rsidR="0025703D" w:rsidRPr="0025703D" w:rsidRDefault="0025703D" w:rsidP="0025703D">
            <w:r w:rsidRPr="0025703D">
              <w:t>Estructura diseñada para ocultar fondos (</w:t>
            </w:r>
            <w:proofErr w:type="gramStart"/>
            <w:r w:rsidRPr="0025703D">
              <w:t>offshore</w:t>
            </w:r>
            <w:proofErr w:type="gramEnd"/>
            <w:r w:rsidRPr="0025703D">
              <w:t>, testaferros)</w:t>
            </w:r>
          </w:p>
        </w:tc>
        <w:tc>
          <w:tcPr>
            <w:tcW w:w="0" w:type="auto"/>
            <w:tcBorders>
              <w:top w:val="nil"/>
              <w:left w:val="nil"/>
              <w:bottom w:val="outset" w:sz="6" w:space="0" w:color="auto"/>
              <w:right w:val="outset" w:sz="6" w:space="0" w:color="auto"/>
            </w:tcBorders>
            <w:hideMark/>
          </w:tcPr>
          <w:p w14:paraId="502B0B7E" w14:textId="77777777" w:rsidR="0025703D" w:rsidRPr="0025703D" w:rsidRDefault="0025703D" w:rsidP="0025703D">
            <w:r w:rsidRPr="0025703D">
              <w:t>Discutido; la Fiscalía niega la presunción de dolo por el vínculo conyugal</w:t>
            </w:r>
          </w:p>
        </w:tc>
      </w:tr>
      <w:tr w:rsidR="0025703D" w:rsidRPr="0025703D" w14:paraId="3870E3A9" w14:textId="77777777">
        <w:trPr>
          <w:cantSplit/>
          <w:jc w:val="center"/>
        </w:trPr>
        <w:tc>
          <w:tcPr>
            <w:tcW w:w="0" w:type="auto"/>
            <w:tcBorders>
              <w:top w:val="nil"/>
              <w:left w:val="outset" w:sz="6" w:space="0" w:color="auto"/>
              <w:bottom w:val="outset" w:sz="6" w:space="0" w:color="auto"/>
              <w:right w:val="outset" w:sz="6" w:space="0" w:color="auto"/>
            </w:tcBorders>
            <w:hideMark/>
          </w:tcPr>
          <w:p w14:paraId="17C85CB0" w14:textId="77777777" w:rsidR="0025703D" w:rsidRPr="0025703D" w:rsidRDefault="0025703D" w:rsidP="0025703D">
            <w:r w:rsidRPr="0025703D">
              <w:t>Prueba documental</w:t>
            </w:r>
          </w:p>
        </w:tc>
        <w:tc>
          <w:tcPr>
            <w:tcW w:w="0" w:type="auto"/>
            <w:tcBorders>
              <w:top w:val="nil"/>
              <w:left w:val="nil"/>
              <w:bottom w:val="outset" w:sz="6" w:space="0" w:color="auto"/>
              <w:right w:val="outset" w:sz="6" w:space="0" w:color="auto"/>
            </w:tcBorders>
            <w:hideMark/>
          </w:tcPr>
          <w:p w14:paraId="7C987C56" w14:textId="77777777" w:rsidR="0025703D" w:rsidRPr="0025703D" w:rsidRDefault="0025703D" w:rsidP="0025703D">
            <w:r w:rsidRPr="0025703D">
              <w:t>Contratos Idella-Plus Ultra; transferencias bancarias; extracción forense de móvil</w:t>
            </w:r>
          </w:p>
        </w:tc>
        <w:tc>
          <w:tcPr>
            <w:tcW w:w="0" w:type="auto"/>
            <w:tcBorders>
              <w:top w:val="nil"/>
              <w:left w:val="nil"/>
              <w:bottom w:val="outset" w:sz="6" w:space="0" w:color="auto"/>
              <w:right w:val="outset" w:sz="6" w:space="0" w:color="auto"/>
            </w:tcBorders>
            <w:hideMark/>
          </w:tcPr>
          <w:p w14:paraId="00E6FC7C" w14:textId="77777777" w:rsidR="0025703D" w:rsidRPr="0025703D" w:rsidRDefault="0025703D" w:rsidP="0025703D">
            <w:r w:rsidRPr="0025703D">
              <w:t>121 correos de la UCM; informe AEAT; registro dominio; declaraciones de directivos</w:t>
            </w:r>
          </w:p>
        </w:tc>
      </w:tr>
    </w:tbl>
    <w:p w14:paraId="5DDA903A" w14:textId="77777777" w:rsidR="0025703D" w:rsidRPr="0025703D" w:rsidRDefault="0025703D" w:rsidP="0025703D">
      <w:r w:rsidRPr="0025703D">
        <w:t xml:space="preserve"> </w:t>
      </w:r>
    </w:p>
    <w:p w14:paraId="24DBF177" w14:textId="7E800BE7" w:rsidR="0025703D" w:rsidRPr="0025703D" w:rsidRDefault="0025703D" w:rsidP="0025703D">
      <w:r w:rsidRPr="0025703D">
        <w:drawing>
          <wp:inline distT="0" distB="0" distL="0" distR="0" wp14:anchorId="5C52910F" wp14:editId="7ECC4BAC">
            <wp:extent cx="5400040" cy="8255"/>
            <wp:effectExtent l="0" t="0" r="0" b="0"/>
            <wp:docPr id="18778540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24CB2764" w14:textId="77777777" w:rsidR="0025703D" w:rsidRPr="0025703D" w:rsidRDefault="0025703D" w:rsidP="0025703D">
      <w:bookmarkStart w:id="25" w:name="bm_6_mapa_de_riesgos_puntos_críti_208819"/>
      <w:bookmarkEnd w:id="25"/>
      <w:r w:rsidRPr="0025703D">
        <w:rPr>
          <w:b/>
        </w:rPr>
        <w:t>6. Mapa de Riesgos: Puntos Críticos en la Gestión de Fondos Públicos</w:t>
      </w:r>
    </w:p>
    <w:p w14:paraId="20B2F3E8" w14:textId="77777777" w:rsidR="0025703D" w:rsidRPr="0025703D" w:rsidRDefault="0025703D" w:rsidP="0025703D">
      <w:r w:rsidRPr="0025703D">
        <w:t xml:space="preserve">El análisis conjunto de ambos casos, sumado al contexto más amplio del FASEE-SEPI —donde las investigaciones judiciales cuestionan la legalidad de rescates a seis empresas que acumulan el </w:t>
      </w:r>
      <w:r w:rsidRPr="0025703D">
        <w:rPr>
          <w:b/>
        </w:rPr>
        <w:t>39% de los 2.680 millones de euros</w:t>
      </w:r>
      <w:r w:rsidRPr="0025703D">
        <w:t xml:space="preserve"> del fondo— permite identificar los </w:t>
      </w:r>
      <w:r w:rsidRPr="0025703D">
        <w:rPr>
          <w:b/>
        </w:rPr>
        <w:t>nodos de riesgo sistémico</w:t>
      </w:r>
      <w:r w:rsidRPr="0025703D">
        <w:t xml:space="preserve"> en la gestión de fondos públicos que facilitan la captura institucional (</w:t>
      </w:r>
      <w:hyperlink r:id="rId25" w:history="1">
        <w:r w:rsidRPr="0025703D">
          <w:rPr>
            <w:rStyle w:val="Hipervnculo"/>
          </w:rPr>
          <w:t>El Español</w:t>
        </w:r>
      </w:hyperlink>
      <w:r w:rsidRPr="0025703D">
        <w:t>).</w:t>
      </w:r>
    </w:p>
    <w:p w14:paraId="0C43D730" w14:textId="77777777" w:rsidR="0025703D" w:rsidRPr="0025703D" w:rsidRDefault="0025703D" w:rsidP="0025703D">
      <w:bookmarkStart w:id="26" w:name="bm_6_1_mapa_de_riesgos_por_fase_d_d7b750"/>
      <w:bookmarkEnd w:id="26"/>
      <w:r w:rsidRPr="0025703D">
        <w:rPr>
          <w:b/>
        </w:rPr>
        <w:t>6.1 Mapa de Riesgos por Fase del Proceso</w:t>
      </w:r>
    </w:p>
    <w:p w14:paraId="21A2FFFE" w14:textId="77777777" w:rsidR="0025703D" w:rsidRPr="0025703D" w:rsidRDefault="0025703D" w:rsidP="0025703D">
      <w:r w:rsidRPr="0025703D">
        <w:t>FASE 1: DISEÑO DEL FONDO / CONVOCATORIA</w:t>
      </w:r>
      <w:r w:rsidRPr="0025703D">
        <w:br/>
        <w:t>┌──────────────────────────────────────────────────────────────────────┐</w:t>
      </w:r>
      <w:r w:rsidRPr="0025703D">
        <w:br/>
        <w:t>│ RIESGO: Criterios de elegibilidad amplios o vagos                    │</w:t>
      </w:r>
      <w:r w:rsidRPr="0025703D">
        <w:br/>
        <w:t>│ RIESGO: Expedientes clasificados como secretos por el Gobierno        │</w:t>
      </w:r>
      <w:r w:rsidRPr="0025703D">
        <w:br/>
        <w:t>│ RIESGO: Ausencia de evaluación ex ante independiente                  │</w:t>
      </w:r>
      <w:r w:rsidRPr="0025703D">
        <w:br/>
        <w:t>│ VECTOR DE CAPTURA: Diseño de los criterios para beneficiar a         │</w:t>
      </w:r>
      <w:r w:rsidRPr="0025703D">
        <w:br/>
        <w:t>│  una empresa concreta ("escrito a medida")                            │</w:t>
      </w:r>
      <w:r w:rsidRPr="0025703D">
        <w:br/>
        <w:t>└──────────────────────────────────────────────────────────────────────┘</w:t>
      </w:r>
      <w:r w:rsidRPr="0025703D">
        <w:br/>
      </w:r>
      <w:r w:rsidRPr="0025703D">
        <w:br/>
        <w:t>FASE 2: EVALUACIÓN Y TRAMITACIÓN</w:t>
      </w:r>
      <w:r w:rsidRPr="0025703D">
        <w:br/>
        <w:t>┌──────────────────────────────────────────────────────────────────────┐</w:t>
      </w:r>
      <w:r w:rsidRPr="0025703D">
        <w:br/>
        <w:t>│ RIESGO: Acceso de intermediarios a técnicos instructores              │</w:t>
      </w:r>
      <w:r w:rsidRPr="0025703D">
        <w:br/>
        <w:t>│ RIESGO: Conflictos de interés no declarados en los evaluadores        │</w:t>
      </w:r>
      <w:r w:rsidRPr="0025703D">
        <w:br/>
        <w:t>│ RIESGO: Presión jerárquica informal sobre los equipos técnicos        │</w:t>
      </w:r>
      <w:r w:rsidRPr="0025703D">
        <w:br/>
        <w:t>│ VECTOR DE CAPTURA: El intermediario con acceso político              │</w:t>
      </w:r>
      <w:r w:rsidRPr="0025703D">
        <w:br/>
        <w:t>│  desatasca "trabas administrativas" o "suaviza exigencias"           │</w:t>
      </w:r>
      <w:r w:rsidRPr="0025703D">
        <w:br/>
        <w:t>└──────────────────────────────────────────────────────────────────────┘</w:t>
      </w:r>
      <w:r w:rsidRPr="0025703D">
        <w:br/>
      </w:r>
      <w:r w:rsidRPr="0025703D">
        <w:br/>
        <w:t>FASE 3: RESOLUCIÓN</w:t>
      </w:r>
      <w:r w:rsidRPr="0025703D">
        <w:br/>
        <w:t>┌──────────────────────────────────────────────────────────────────────┐</w:t>
      </w:r>
      <w:r w:rsidRPr="0025703D">
        <w:br/>
        <w:t>│ RIESGO CRÍTICO: Filtración de la resolución antes de su publicación   │</w:t>
      </w:r>
      <w:r w:rsidRPr="0025703D">
        <w:br/>
        <w:t>│ RIESGO: Concentración de la decisión en un órgano sin control externo │</w:t>
      </w:r>
      <w:r w:rsidRPr="0025703D">
        <w:br/>
        <w:t>│ RIESGO: Resoluciones "a medida" sin justificación técnica detallada   │</w:t>
      </w:r>
      <w:r w:rsidRPr="0025703D">
        <w:br/>
        <w:t>│ VECTOR DE CAPTURA: El conocimiento anticipado de la resolución es     │</w:t>
      </w:r>
      <w:r w:rsidRPr="0025703D">
        <w:br/>
        <w:t>│  la prueba más incriminatoria — y el beneficio más valioso            │</w:t>
      </w:r>
      <w:r w:rsidRPr="0025703D">
        <w:br/>
        <w:t>└──────────────────────────────────────────────────────────────────────┘</w:t>
      </w:r>
      <w:r w:rsidRPr="0025703D">
        <w:br/>
      </w:r>
      <w:r w:rsidRPr="0025703D">
        <w:br/>
        <w:t>FASE 4: EJECUCIÓN Y JUSTIFICACIÓN</w:t>
      </w:r>
      <w:r w:rsidRPr="0025703D">
        <w:br/>
        <w:t>┌──────────────────────────────────────────────────────────────────────┐</w:t>
      </w:r>
      <w:r w:rsidRPr="0025703D">
        <w:br/>
      </w:r>
      <w:r w:rsidRPr="0025703D">
        <w:lastRenderedPageBreak/>
        <w:t>│ RIESGO: Seguimiento insuficiente (SEPI no inició seguimiento de       │</w:t>
      </w:r>
      <w:r w:rsidRPr="0025703D">
        <w:br/>
        <w:t>│  Plus Ultra hasta tres meses después del rescate)                     │</w:t>
      </w:r>
      <w:r w:rsidRPr="0025703D">
        <w:br/>
        <w:t>│ RIESGO: Fondos europeos con menor control nacional que presupuestario │</w:t>
      </w:r>
      <w:r w:rsidRPr="0025703D">
        <w:br/>
        <w:t>│ RIESGO: Contratos derivados con empresas vinculadas al beneficiario   │</w:t>
      </w:r>
      <w:r w:rsidRPr="0025703D">
        <w:br/>
        <w:t xml:space="preserve">│ VECTOR DE CAPTURA: El </w:t>
      </w:r>
      <w:proofErr w:type="spellStart"/>
      <w:r w:rsidRPr="0025703D">
        <w:t>comisionismo</w:t>
      </w:r>
      <w:proofErr w:type="spellEnd"/>
      <w:r w:rsidRPr="0025703D">
        <w:t xml:space="preserve"> </w:t>
      </w:r>
      <w:proofErr w:type="spellStart"/>
      <w:r w:rsidRPr="0025703D">
        <w:t>post-adjudicación</w:t>
      </w:r>
      <w:proofErr w:type="spellEnd"/>
      <w:r w:rsidRPr="0025703D">
        <w:t xml:space="preserve"> como servicio    │</w:t>
      </w:r>
      <w:r w:rsidRPr="0025703D">
        <w:br/>
        <w:t>│  adicional (asesoramiento para postergar amortizaciones)             │</w:t>
      </w:r>
      <w:r w:rsidRPr="0025703D">
        <w:br/>
        <w:t>└──────────────────────────────────────────────────────────────────────┘</w:t>
      </w:r>
      <w:r w:rsidRPr="0025703D">
        <w:br/>
      </w:r>
      <w:r w:rsidRPr="0025703D">
        <w:br/>
        <w:t>FASE 5: CONTROL Y AUDITORÍA</w:t>
      </w:r>
      <w:r w:rsidRPr="0025703D">
        <w:br/>
        <w:t>┌──────────────────────────────────────────────────────────────────────┐</w:t>
      </w:r>
      <w:r w:rsidRPr="0025703D">
        <w:br/>
        <w:t>│ RIESGO: Tribunal de Cuentas con acceso limitado a expedientes         │</w:t>
      </w:r>
      <w:r w:rsidRPr="0025703D">
        <w:br/>
        <w:t>│  clasificados por razones de seguridad nacional                       │</w:t>
      </w:r>
      <w:r w:rsidRPr="0025703D">
        <w:br/>
        <w:t>│ RIESGO: IGAE con capacidad de control ex post pero no ex ante         │</w:t>
      </w:r>
      <w:r w:rsidRPr="0025703D">
        <w:br/>
        <w:t>│ RIESGO: Denuncias judiciales como único mecanismo de alerta efectivo  │</w:t>
      </w:r>
      <w:r w:rsidRPr="0025703D">
        <w:br/>
        <w:t>│ VECTOR DE CAPTURA: La opacidad del expediente como escudo            │</w:t>
      </w:r>
      <w:r w:rsidRPr="0025703D">
        <w:br/>
        <w:t>└──────────────────────────────────────────────────────────────────────┘</w:t>
      </w:r>
      <w:r w:rsidRPr="0025703D">
        <w:br/>
      </w:r>
    </w:p>
    <w:p w14:paraId="0543658E" w14:textId="77777777" w:rsidR="0025703D" w:rsidRPr="0025703D" w:rsidRDefault="0025703D" w:rsidP="0025703D">
      <w:bookmarkStart w:id="27" w:name="bm_6_2_tabla_de_riesgos_por_nivel_68def2"/>
      <w:bookmarkEnd w:id="27"/>
      <w:r w:rsidRPr="0025703D">
        <w:rPr>
          <w:b/>
        </w:rPr>
        <w:t>6.2 Tabla de Riesgos por Nivel de Criticidad</w:t>
      </w:r>
    </w:p>
    <w:tbl>
      <w:tblPr>
        <w:tblW w:w="0" w:type="auto"/>
        <w:jc w:val="center"/>
        <w:tblCellMar>
          <w:top w:w="15" w:type="dxa"/>
          <w:left w:w="15" w:type="dxa"/>
          <w:bottom w:w="15" w:type="dxa"/>
          <w:right w:w="15" w:type="dxa"/>
        </w:tblCellMar>
        <w:tblLook w:val="04A0" w:firstRow="1" w:lastRow="0" w:firstColumn="1" w:lastColumn="0" w:noHBand="0" w:noVBand="1"/>
      </w:tblPr>
      <w:tblGrid>
        <w:gridCol w:w="2560"/>
        <w:gridCol w:w="2554"/>
        <w:gridCol w:w="869"/>
        <w:gridCol w:w="2505"/>
      </w:tblGrid>
      <w:tr w:rsidR="0025703D" w:rsidRPr="0025703D" w14:paraId="4C52E640" w14:textId="77777777">
        <w:trPr>
          <w:cantSplit/>
          <w:jc w:val="center"/>
        </w:trPr>
        <w:tc>
          <w:tcPr>
            <w:tcW w:w="0" w:type="auto"/>
            <w:tcBorders>
              <w:top w:val="outset" w:sz="6" w:space="0" w:color="auto"/>
              <w:left w:val="outset" w:sz="6" w:space="0" w:color="auto"/>
              <w:bottom w:val="outset" w:sz="6" w:space="0" w:color="auto"/>
              <w:right w:val="outset" w:sz="6" w:space="0" w:color="auto"/>
            </w:tcBorders>
            <w:hideMark/>
          </w:tcPr>
          <w:p w14:paraId="059BA77F" w14:textId="77777777" w:rsidR="0025703D" w:rsidRPr="0025703D" w:rsidRDefault="0025703D" w:rsidP="0025703D">
            <w:r w:rsidRPr="0025703D">
              <w:t>Punto crítico</w:t>
            </w:r>
          </w:p>
        </w:tc>
        <w:tc>
          <w:tcPr>
            <w:tcW w:w="0" w:type="auto"/>
            <w:tcBorders>
              <w:top w:val="outset" w:sz="6" w:space="0" w:color="auto"/>
              <w:left w:val="nil"/>
              <w:bottom w:val="outset" w:sz="6" w:space="0" w:color="auto"/>
              <w:right w:val="outset" w:sz="6" w:space="0" w:color="auto"/>
            </w:tcBorders>
            <w:hideMark/>
          </w:tcPr>
          <w:p w14:paraId="3F755B60" w14:textId="77777777" w:rsidR="0025703D" w:rsidRPr="0025703D" w:rsidRDefault="0025703D" w:rsidP="0025703D">
            <w:r w:rsidRPr="0025703D">
              <w:t>Mecanismo de captura</w:t>
            </w:r>
          </w:p>
        </w:tc>
        <w:tc>
          <w:tcPr>
            <w:tcW w:w="0" w:type="auto"/>
            <w:tcBorders>
              <w:top w:val="outset" w:sz="6" w:space="0" w:color="auto"/>
              <w:left w:val="nil"/>
              <w:bottom w:val="outset" w:sz="6" w:space="0" w:color="auto"/>
              <w:right w:val="outset" w:sz="6" w:space="0" w:color="auto"/>
            </w:tcBorders>
            <w:hideMark/>
          </w:tcPr>
          <w:p w14:paraId="143F3A1C" w14:textId="77777777" w:rsidR="0025703D" w:rsidRPr="0025703D" w:rsidRDefault="0025703D" w:rsidP="0025703D">
            <w:r w:rsidRPr="0025703D">
              <w:t>Nivel de riesgo</w:t>
            </w:r>
          </w:p>
        </w:tc>
        <w:tc>
          <w:tcPr>
            <w:tcW w:w="0" w:type="auto"/>
            <w:tcBorders>
              <w:top w:val="outset" w:sz="6" w:space="0" w:color="auto"/>
              <w:left w:val="nil"/>
              <w:bottom w:val="outset" w:sz="6" w:space="0" w:color="auto"/>
              <w:right w:val="outset" w:sz="6" w:space="0" w:color="auto"/>
            </w:tcBorders>
            <w:hideMark/>
          </w:tcPr>
          <w:p w14:paraId="58A4FB8B" w14:textId="77777777" w:rsidR="0025703D" w:rsidRPr="0025703D" w:rsidRDefault="0025703D" w:rsidP="0025703D">
            <w:r w:rsidRPr="0025703D">
              <w:t>Caso ilustrativo</w:t>
            </w:r>
          </w:p>
        </w:tc>
      </w:tr>
      <w:tr w:rsidR="0025703D" w:rsidRPr="0025703D" w14:paraId="4E9B1F7D" w14:textId="77777777">
        <w:trPr>
          <w:cantSplit/>
          <w:jc w:val="center"/>
        </w:trPr>
        <w:tc>
          <w:tcPr>
            <w:tcW w:w="0" w:type="auto"/>
            <w:tcBorders>
              <w:top w:val="nil"/>
              <w:left w:val="outset" w:sz="6" w:space="0" w:color="auto"/>
              <w:bottom w:val="outset" w:sz="6" w:space="0" w:color="auto"/>
              <w:right w:val="outset" w:sz="6" w:space="0" w:color="auto"/>
            </w:tcBorders>
            <w:hideMark/>
          </w:tcPr>
          <w:p w14:paraId="23580E87" w14:textId="77777777" w:rsidR="0025703D" w:rsidRPr="0025703D" w:rsidRDefault="0025703D" w:rsidP="0025703D">
            <w:r w:rsidRPr="0025703D">
              <w:t>Acceso de intermediarios a instructores del expediente</w:t>
            </w:r>
          </w:p>
        </w:tc>
        <w:tc>
          <w:tcPr>
            <w:tcW w:w="0" w:type="auto"/>
            <w:tcBorders>
              <w:top w:val="nil"/>
              <w:left w:val="nil"/>
              <w:bottom w:val="outset" w:sz="6" w:space="0" w:color="auto"/>
              <w:right w:val="outset" w:sz="6" w:space="0" w:color="auto"/>
            </w:tcBorders>
            <w:hideMark/>
          </w:tcPr>
          <w:p w14:paraId="04320C64" w14:textId="77777777" w:rsidR="0025703D" w:rsidRPr="0025703D" w:rsidRDefault="0025703D" w:rsidP="0025703D">
            <w:r w:rsidRPr="0025703D">
              <w:t>Presión informal para "acelerar", "desatascar" o "suavizar" requisitos</w:t>
            </w:r>
          </w:p>
        </w:tc>
        <w:tc>
          <w:tcPr>
            <w:tcW w:w="0" w:type="auto"/>
            <w:tcBorders>
              <w:top w:val="nil"/>
              <w:left w:val="nil"/>
              <w:bottom w:val="outset" w:sz="6" w:space="0" w:color="auto"/>
              <w:right w:val="outset" w:sz="6" w:space="0" w:color="auto"/>
            </w:tcBorders>
            <w:hideMark/>
          </w:tcPr>
          <w:p w14:paraId="0F12066A" w14:textId="77777777" w:rsidR="0025703D" w:rsidRPr="0025703D" w:rsidRDefault="0025703D" w:rsidP="0025703D">
            <w:r w:rsidRPr="0025703D">
              <w:rPr>
                <w:b/>
              </w:rPr>
              <w:t>Crítico</w:t>
            </w:r>
          </w:p>
        </w:tc>
        <w:tc>
          <w:tcPr>
            <w:tcW w:w="0" w:type="auto"/>
            <w:tcBorders>
              <w:top w:val="nil"/>
              <w:left w:val="nil"/>
              <w:bottom w:val="outset" w:sz="6" w:space="0" w:color="auto"/>
              <w:right w:val="outset" w:sz="6" w:space="0" w:color="auto"/>
            </w:tcBorders>
            <w:hideMark/>
          </w:tcPr>
          <w:p w14:paraId="418CB8D2" w14:textId="77777777" w:rsidR="0025703D" w:rsidRPr="0025703D" w:rsidRDefault="0025703D" w:rsidP="0025703D">
            <w:r w:rsidRPr="0025703D">
              <w:t>SEPI-FASEE: seis rescates investigados</w:t>
            </w:r>
          </w:p>
        </w:tc>
      </w:tr>
      <w:tr w:rsidR="0025703D" w:rsidRPr="0025703D" w14:paraId="70A714D7" w14:textId="77777777">
        <w:trPr>
          <w:cantSplit/>
          <w:jc w:val="center"/>
        </w:trPr>
        <w:tc>
          <w:tcPr>
            <w:tcW w:w="0" w:type="auto"/>
            <w:tcBorders>
              <w:top w:val="nil"/>
              <w:left w:val="outset" w:sz="6" w:space="0" w:color="auto"/>
              <w:bottom w:val="outset" w:sz="6" w:space="0" w:color="auto"/>
              <w:right w:val="outset" w:sz="6" w:space="0" w:color="auto"/>
            </w:tcBorders>
            <w:hideMark/>
          </w:tcPr>
          <w:p w14:paraId="3013D807" w14:textId="77777777" w:rsidR="0025703D" w:rsidRPr="0025703D" w:rsidRDefault="0025703D" w:rsidP="0025703D">
            <w:r w:rsidRPr="0025703D">
              <w:t>Filtración de resoluciones antes de su publicación</w:t>
            </w:r>
          </w:p>
        </w:tc>
        <w:tc>
          <w:tcPr>
            <w:tcW w:w="0" w:type="auto"/>
            <w:tcBorders>
              <w:top w:val="nil"/>
              <w:left w:val="nil"/>
              <w:bottom w:val="outset" w:sz="6" w:space="0" w:color="auto"/>
              <w:right w:val="outset" w:sz="6" w:space="0" w:color="auto"/>
            </w:tcBorders>
            <w:hideMark/>
          </w:tcPr>
          <w:p w14:paraId="04534150" w14:textId="77777777" w:rsidR="0025703D" w:rsidRPr="0025703D" w:rsidRDefault="0025703D" w:rsidP="0025703D">
            <w:r w:rsidRPr="0025703D">
              <w:t>El conocimiento anticipado como activo central de la red</w:t>
            </w:r>
          </w:p>
        </w:tc>
        <w:tc>
          <w:tcPr>
            <w:tcW w:w="0" w:type="auto"/>
            <w:tcBorders>
              <w:top w:val="nil"/>
              <w:left w:val="nil"/>
              <w:bottom w:val="outset" w:sz="6" w:space="0" w:color="auto"/>
              <w:right w:val="outset" w:sz="6" w:space="0" w:color="auto"/>
            </w:tcBorders>
            <w:hideMark/>
          </w:tcPr>
          <w:p w14:paraId="08FD5975" w14:textId="77777777" w:rsidR="0025703D" w:rsidRPr="0025703D" w:rsidRDefault="0025703D" w:rsidP="0025703D">
            <w:r w:rsidRPr="0025703D">
              <w:rPr>
                <w:b/>
              </w:rPr>
              <w:t>Crítico</w:t>
            </w:r>
          </w:p>
        </w:tc>
        <w:tc>
          <w:tcPr>
            <w:tcW w:w="0" w:type="auto"/>
            <w:tcBorders>
              <w:top w:val="nil"/>
              <w:left w:val="nil"/>
              <w:bottom w:val="outset" w:sz="6" w:space="0" w:color="auto"/>
              <w:right w:val="outset" w:sz="6" w:space="0" w:color="auto"/>
            </w:tcBorders>
            <w:hideMark/>
          </w:tcPr>
          <w:p w14:paraId="7A5D843D" w14:textId="77777777" w:rsidR="0025703D" w:rsidRPr="0025703D" w:rsidRDefault="0025703D" w:rsidP="0025703D">
            <w:r w:rsidRPr="0025703D">
              <w:t>Plus Ultra: mensajes previos al Consejo Gestor</w:t>
            </w:r>
          </w:p>
        </w:tc>
      </w:tr>
      <w:tr w:rsidR="0025703D" w:rsidRPr="0025703D" w14:paraId="42ADD6B4" w14:textId="77777777">
        <w:trPr>
          <w:cantSplit/>
          <w:jc w:val="center"/>
        </w:trPr>
        <w:tc>
          <w:tcPr>
            <w:tcW w:w="0" w:type="auto"/>
            <w:tcBorders>
              <w:top w:val="nil"/>
              <w:left w:val="outset" w:sz="6" w:space="0" w:color="auto"/>
              <w:bottom w:val="outset" w:sz="6" w:space="0" w:color="auto"/>
              <w:right w:val="outset" w:sz="6" w:space="0" w:color="auto"/>
            </w:tcBorders>
            <w:hideMark/>
          </w:tcPr>
          <w:p w14:paraId="54D75F89" w14:textId="77777777" w:rsidR="0025703D" w:rsidRPr="0025703D" w:rsidRDefault="0025703D" w:rsidP="0025703D">
            <w:r w:rsidRPr="0025703D">
              <w:t>Concentración decisoria sin control externo independiente</w:t>
            </w:r>
          </w:p>
        </w:tc>
        <w:tc>
          <w:tcPr>
            <w:tcW w:w="0" w:type="auto"/>
            <w:tcBorders>
              <w:top w:val="nil"/>
              <w:left w:val="nil"/>
              <w:bottom w:val="outset" w:sz="6" w:space="0" w:color="auto"/>
              <w:right w:val="outset" w:sz="6" w:space="0" w:color="auto"/>
            </w:tcBorders>
            <w:hideMark/>
          </w:tcPr>
          <w:p w14:paraId="6578E61B" w14:textId="77777777" w:rsidR="0025703D" w:rsidRPr="0025703D" w:rsidRDefault="0025703D" w:rsidP="0025703D">
            <w:r w:rsidRPr="0025703D">
              <w:t>Un órgano técnico-político sin comité externo de auditoría</w:t>
            </w:r>
          </w:p>
        </w:tc>
        <w:tc>
          <w:tcPr>
            <w:tcW w:w="0" w:type="auto"/>
            <w:tcBorders>
              <w:top w:val="nil"/>
              <w:left w:val="nil"/>
              <w:bottom w:val="outset" w:sz="6" w:space="0" w:color="auto"/>
              <w:right w:val="outset" w:sz="6" w:space="0" w:color="auto"/>
            </w:tcBorders>
            <w:hideMark/>
          </w:tcPr>
          <w:p w14:paraId="6A2083C1" w14:textId="77777777" w:rsidR="0025703D" w:rsidRPr="0025703D" w:rsidRDefault="0025703D" w:rsidP="0025703D">
            <w:r w:rsidRPr="0025703D">
              <w:rPr>
                <w:b/>
              </w:rPr>
              <w:t>Crítico</w:t>
            </w:r>
          </w:p>
        </w:tc>
        <w:tc>
          <w:tcPr>
            <w:tcW w:w="0" w:type="auto"/>
            <w:tcBorders>
              <w:top w:val="nil"/>
              <w:left w:val="nil"/>
              <w:bottom w:val="outset" w:sz="6" w:space="0" w:color="auto"/>
              <w:right w:val="outset" w:sz="6" w:space="0" w:color="auto"/>
            </w:tcBorders>
            <w:hideMark/>
          </w:tcPr>
          <w:p w14:paraId="7C6B7D2B" w14:textId="77777777" w:rsidR="0025703D" w:rsidRPr="0025703D" w:rsidRDefault="0025703D" w:rsidP="0025703D">
            <w:r w:rsidRPr="0025703D">
              <w:t>SEPI durante 2020-2022</w:t>
            </w:r>
          </w:p>
        </w:tc>
      </w:tr>
      <w:tr w:rsidR="0025703D" w:rsidRPr="0025703D" w14:paraId="05741E7F" w14:textId="77777777">
        <w:trPr>
          <w:cantSplit/>
          <w:jc w:val="center"/>
        </w:trPr>
        <w:tc>
          <w:tcPr>
            <w:tcW w:w="0" w:type="auto"/>
            <w:tcBorders>
              <w:top w:val="nil"/>
              <w:left w:val="outset" w:sz="6" w:space="0" w:color="auto"/>
              <w:bottom w:val="outset" w:sz="6" w:space="0" w:color="auto"/>
              <w:right w:val="outset" w:sz="6" w:space="0" w:color="auto"/>
            </w:tcBorders>
            <w:hideMark/>
          </w:tcPr>
          <w:p w14:paraId="22128970" w14:textId="77777777" w:rsidR="0025703D" w:rsidRPr="0025703D" w:rsidRDefault="0025703D" w:rsidP="0025703D">
            <w:r w:rsidRPr="0025703D">
              <w:t>Clasificación como secreto de los expedientes de subvención</w:t>
            </w:r>
          </w:p>
        </w:tc>
        <w:tc>
          <w:tcPr>
            <w:tcW w:w="0" w:type="auto"/>
            <w:tcBorders>
              <w:top w:val="nil"/>
              <w:left w:val="nil"/>
              <w:bottom w:val="outset" w:sz="6" w:space="0" w:color="auto"/>
              <w:right w:val="outset" w:sz="6" w:space="0" w:color="auto"/>
            </w:tcBorders>
            <w:hideMark/>
          </w:tcPr>
          <w:p w14:paraId="3C2F638E" w14:textId="77777777" w:rsidR="0025703D" w:rsidRPr="0025703D" w:rsidRDefault="0025703D" w:rsidP="0025703D">
            <w:r w:rsidRPr="0025703D">
              <w:t>Impide el escrutinio parlamentario, periodístico y judicial</w:t>
            </w:r>
          </w:p>
        </w:tc>
        <w:tc>
          <w:tcPr>
            <w:tcW w:w="0" w:type="auto"/>
            <w:tcBorders>
              <w:top w:val="nil"/>
              <w:left w:val="nil"/>
              <w:bottom w:val="outset" w:sz="6" w:space="0" w:color="auto"/>
              <w:right w:val="outset" w:sz="6" w:space="0" w:color="auto"/>
            </w:tcBorders>
            <w:hideMark/>
          </w:tcPr>
          <w:p w14:paraId="010B1E93" w14:textId="77777777" w:rsidR="0025703D" w:rsidRPr="0025703D" w:rsidRDefault="0025703D" w:rsidP="0025703D">
            <w:r w:rsidRPr="0025703D">
              <w:rPr>
                <w:b/>
              </w:rPr>
              <w:t>Alto</w:t>
            </w:r>
          </w:p>
        </w:tc>
        <w:tc>
          <w:tcPr>
            <w:tcW w:w="0" w:type="auto"/>
            <w:tcBorders>
              <w:top w:val="nil"/>
              <w:left w:val="nil"/>
              <w:bottom w:val="outset" w:sz="6" w:space="0" w:color="auto"/>
              <w:right w:val="outset" w:sz="6" w:space="0" w:color="auto"/>
            </w:tcBorders>
            <w:hideMark/>
          </w:tcPr>
          <w:p w14:paraId="22A094AB" w14:textId="77777777" w:rsidR="0025703D" w:rsidRPr="0025703D" w:rsidRDefault="0025703D" w:rsidP="0025703D">
            <w:r w:rsidRPr="0025703D">
              <w:t>Todos los expedientes FASEE clasificados por el Gobierno</w:t>
            </w:r>
          </w:p>
        </w:tc>
      </w:tr>
      <w:tr w:rsidR="0025703D" w:rsidRPr="0025703D" w14:paraId="437C8D21" w14:textId="77777777">
        <w:trPr>
          <w:cantSplit/>
          <w:jc w:val="center"/>
        </w:trPr>
        <w:tc>
          <w:tcPr>
            <w:tcW w:w="0" w:type="auto"/>
            <w:tcBorders>
              <w:top w:val="nil"/>
              <w:left w:val="outset" w:sz="6" w:space="0" w:color="auto"/>
              <w:bottom w:val="outset" w:sz="6" w:space="0" w:color="auto"/>
              <w:right w:val="outset" w:sz="6" w:space="0" w:color="auto"/>
            </w:tcBorders>
            <w:hideMark/>
          </w:tcPr>
          <w:p w14:paraId="52C299DB" w14:textId="77777777" w:rsidR="0025703D" w:rsidRPr="0025703D" w:rsidRDefault="0025703D" w:rsidP="0025703D">
            <w:r w:rsidRPr="0025703D">
              <w:t>Uso de vínculo de parentesco o amistad con titular del poder ejecutivo</w:t>
            </w:r>
          </w:p>
        </w:tc>
        <w:tc>
          <w:tcPr>
            <w:tcW w:w="0" w:type="auto"/>
            <w:tcBorders>
              <w:top w:val="nil"/>
              <w:left w:val="nil"/>
              <w:bottom w:val="outset" w:sz="6" w:space="0" w:color="auto"/>
              <w:right w:val="outset" w:sz="6" w:space="0" w:color="auto"/>
            </w:tcBorders>
            <w:hideMark/>
          </w:tcPr>
          <w:p w14:paraId="0E955318" w14:textId="77777777" w:rsidR="0025703D" w:rsidRPr="0025703D" w:rsidRDefault="0025703D" w:rsidP="0025703D">
            <w:r w:rsidRPr="0025703D">
              <w:t>Apertura de puertas sin solicitud explícita ni registro administrativo</w:t>
            </w:r>
          </w:p>
        </w:tc>
        <w:tc>
          <w:tcPr>
            <w:tcW w:w="0" w:type="auto"/>
            <w:tcBorders>
              <w:top w:val="nil"/>
              <w:left w:val="nil"/>
              <w:bottom w:val="outset" w:sz="6" w:space="0" w:color="auto"/>
              <w:right w:val="outset" w:sz="6" w:space="0" w:color="auto"/>
            </w:tcBorders>
            <w:hideMark/>
          </w:tcPr>
          <w:p w14:paraId="11A18A80" w14:textId="77777777" w:rsidR="0025703D" w:rsidRPr="0025703D" w:rsidRDefault="0025703D" w:rsidP="0025703D">
            <w:r w:rsidRPr="0025703D">
              <w:rPr>
                <w:b/>
              </w:rPr>
              <w:t>Alto</w:t>
            </w:r>
          </w:p>
        </w:tc>
        <w:tc>
          <w:tcPr>
            <w:tcW w:w="0" w:type="auto"/>
            <w:tcBorders>
              <w:top w:val="nil"/>
              <w:left w:val="nil"/>
              <w:bottom w:val="outset" w:sz="6" w:space="0" w:color="auto"/>
              <w:right w:val="outset" w:sz="6" w:space="0" w:color="auto"/>
            </w:tcBorders>
            <w:hideMark/>
          </w:tcPr>
          <w:p w14:paraId="7D4B0E9D" w14:textId="77777777" w:rsidR="0025703D" w:rsidRPr="0025703D" w:rsidRDefault="0025703D" w:rsidP="0025703D">
            <w:r w:rsidRPr="0025703D">
              <w:t>Caso Begoña Gómez: reuniones con directivos de grandes empresas</w:t>
            </w:r>
          </w:p>
        </w:tc>
      </w:tr>
      <w:tr w:rsidR="0025703D" w:rsidRPr="0025703D" w14:paraId="69C62197" w14:textId="77777777">
        <w:trPr>
          <w:cantSplit/>
          <w:jc w:val="center"/>
        </w:trPr>
        <w:tc>
          <w:tcPr>
            <w:tcW w:w="0" w:type="auto"/>
            <w:tcBorders>
              <w:top w:val="nil"/>
              <w:left w:val="outset" w:sz="6" w:space="0" w:color="auto"/>
              <w:bottom w:val="outset" w:sz="6" w:space="0" w:color="auto"/>
              <w:right w:val="outset" w:sz="6" w:space="0" w:color="auto"/>
            </w:tcBorders>
            <w:hideMark/>
          </w:tcPr>
          <w:p w14:paraId="1C3EFAA4" w14:textId="77777777" w:rsidR="0025703D" w:rsidRPr="0025703D" w:rsidRDefault="0025703D" w:rsidP="0025703D">
            <w:r w:rsidRPr="0025703D">
              <w:t>Contratos de asesoría ad hoc como vehículo de pago encubierto</w:t>
            </w:r>
          </w:p>
        </w:tc>
        <w:tc>
          <w:tcPr>
            <w:tcW w:w="0" w:type="auto"/>
            <w:tcBorders>
              <w:top w:val="nil"/>
              <w:left w:val="nil"/>
              <w:bottom w:val="outset" w:sz="6" w:space="0" w:color="auto"/>
              <w:right w:val="outset" w:sz="6" w:space="0" w:color="auto"/>
            </w:tcBorders>
            <w:hideMark/>
          </w:tcPr>
          <w:p w14:paraId="37221C47" w14:textId="77777777" w:rsidR="0025703D" w:rsidRPr="0025703D" w:rsidRDefault="0025703D" w:rsidP="0025703D">
            <w:r w:rsidRPr="0025703D">
              <w:t>Facturación de servicios inidentificables que justifican transferencias</w:t>
            </w:r>
          </w:p>
        </w:tc>
        <w:tc>
          <w:tcPr>
            <w:tcW w:w="0" w:type="auto"/>
            <w:tcBorders>
              <w:top w:val="nil"/>
              <w:left w:val="nil"/>
              <w:bottom w:val="outset" w:sz="6" w:space="0" w:color="auto"/>
              <w:right w:val="outset" w:sz="6" w:space="0" w:color="auto"/>
            </w:tcBorders>
            <w:hideMark/>
          </w:tcPr>
          <w:p w14:paraId="32A39A33" w14:textId="77777777" w:rsidR="0025703D" w:rsidRPr="0025703D" w:rsidRDefault="0025703D" w:rsidP="0025703D">
            <w:r w:rsidRPr="0025703D">
              <w:rPr>
                <w:b/>
              </w:rPr>
              <w:t>Alto</w:t>
            </w:r>
          </w:p>
        </w:tc>
        <w:tc>
          <w:tcPr>
            <w:tcW w:w="0" w:type="auto"/>
            <w:tcBorders>
              <w:top w:val="nil"/>
              <w:left w:val="nil"/>
              <w:bottom w:val="outset" w:sz="6" w:space="0" w:color="auto"/>
              <w:right w:val="outset" w:sz="6" w:space="0" w:color="auto"/>
            </w:tcBorders>
            <w:hideMark/>
          </w:tcPr>
          <w:p w14:paraId="495F582A" w14:textId="77777777" w:rsidR="0025703D" w:rsidRPr="0025703D" w:rsidRDefault="0025703D" w:rsidP="0025703D">
            <w:r w:rsidRPr="0025703D">
              <w:t>Plus Ultra: contratos de Idella y Análisis Relevante</w:t>
            </w:r>
          </w:p>
        </w:tc>
      </w:tr>
      <w:tr w:rsidR="0025703D" w:rsidRPr="0025703D" w14:paraId="4D5F596D" w14:textId="77777777">
        <w:trPr>
          <w:cantSplit/>
          <w:jc w:val="center"/>
        </w:trPr>
        <w:tc>
          <w:tcPr>
            <w:tcW w:w="0" w:type="auto"/>
            <w:tcBorders>
              <w:top w:val="nil"/>
              <w:left w:val="outset" w:sz="6" w:space="0" w:color="auto"/>
              <w:bottom w:val="outset" w:sz="6" w:space="0" w:color="auto"/>
              <w:right w:val="outset" w:sz="6" w:space="0" w:color="auto"/>
            </w:tcBorders>
            <w:hideMark/>
          </w:tcPr>
          <w:p w14:paraId="710391FE" w14:textId="77777777" w:rsidR="0025703D" w:rsidRPr="0025703D" w:rsidRDefault="0025703D" w:rsidP="0025703D">
            <w:r w:rsidRPr="0025703D">
              <w:lastRenderedPageBreak/>
              <w:t>Licitaciones con criterios valorativos subjetivos</w:t>
            </w:r>
          </w:p>
        </w:tc>
        <w:tc>
          <w:tcPr>
            <w:tcW w:w="0" w:type="auto"/>
            <w:tcBorders>
              <w:top w:val="nil"/>
              <w:left w:val="nil"/>
              <w:bottom w:val="outset" w:sz="6" w:space="0" w:color="auto"/>
              <w:right w:val="outset" w:sz="6" w:space="0" w:color="auto"/>
            </w:tcBorders>
            <w:hideMark/>
          </w:tcPr>
          <w:p w14:paraId="3104ABF2" w14:textId="77777777" w:rsidR="0025703D" w:rsidRPr="0025703D" w:rsidRDefault="0025703D" w:rsidP="0025703D">
            <w:r w:rsidRPr="0025703D">
              <w:t>Puntuación discrecional que permite favorecer a un operador</w:t>
            </w:r>
          </w:p>
        </w:tc>
        <w:tc>
          <w:tcPr>
            <w:tcW w:w="0" w:type="auto"/>
            <w:tcBorders>
              <w:top w:val="nil"/>
              <w:left w:val="nil"/>
              <w:bottom w:val="outset" w:sz="6" w:space="0" w:color="auto"/>
              <w:right w:val="outset" w:sz="6" w:space="0" w:color="auto"/>
            </w:tcBorders>
            <w:hideMark/>
          </w:tcPr>
          <w:p w14:paraId="1B452155" w14:textId="77777777" w:rsidR="0025703D" w:rsidRPr="0025703D" w:rsidRDefault="0025703D" w:rsidP="0025703D">
            <w:r w:rsidRPr="0025703D">
              <w:rPr>
                <w:b/>
              </w:rPr>
              <w:t>Alto</w:t>
            </w:r>
          </w:p>
        </w:tc>
        <w:tc>
          <w:tcPr>
            <w:tcW w:w="0" w:type="auto"/>
            <w:tcBorders>
              <w:top w:val="nil"/>
              <w:left w:val="nil"/>
              <w:bottom w:val="outset" w:sz="6" w:space="0" w:color="auto"/>
              <w:right w:val="outset" w:sz="6" w:space="0" w:color="auto"/>
            </w:tcBorders>
            <w:hideMark/>
          </w:tcPr>
          <w:p w14:paraId="461C791E" w14:textId="77777777" w:rsidR="0025703D" w:rsidRPr="0025703D" w:rsidRDefault="0025703D" w:rsidP="0025703D">
            <w:hyperlink r:id="rId26" w:history="1">
              <w:r w:rsidRPr="0025703D">
                <w:rPr>
                  <w:rStyle w:val="Hipervnculo"/>
                </w:rPr>
                <w:t>Red.es</w:t>
              </w:r>
            </w:hyperlink>
            <w:r w:rsidRPr="0025703D">
              <w:t>: contratos a Innova Next; informe AEAT sobre adulteraciones</w:t>
            </w:r>
          </w:p>
        </w:tc>
      </w:tr>
      <w:tr w:rsidR="0025703D" w:rsidRPr="0025703D" w14:paraId="6D747E61" w14:textId="77777777">
        <w:trPr>
          <w:cantSplit/>
          <w:jc w:val="center"/>
        </w:trPr>
        <w:tc>
          <w:tcPr>
            <w:tcW w:w="0" w:type="auto"/>
            <w:tcBorders>
              <w:top w:val="nil"/>
              <w:left w:val="outset" w:sz="6" w:space="0" w:color="auto"/>
              <w:bottom w:val="outset" w:sz="6" w:space="0" w:color="auto"/>
              <w:right w:val="outset" w:sz="6" w:space="0" w:color="auto"/>
            </w:tcBorders>
            <w:hideMark/>
          </w:tcPr>
          <w:p w14:paraId="5DF68928" w14:textId="77777777" w:rsidR="0025703D" w:rsidRPr="0025703D" w:rsidRDefault="0025703D" w:rsidP="0025703D">
            <w:r w:rsidRPr="0025703D">
              <w:t>Ausencia de declaraciones de conflicto de interés sistemáticas</w:t>
            </w:r>
          </w:p>
        </w:tc>
        <w:tc>
          <w:tcPr>
            <w:tcW w:w="0" w:type="auto"/>
            <w:tcBorders>
              <w:top w:val="nil"/>
              <w:left w:val="nil"/>
              <w:bottom w:val="outset" w:sz="6" w:space="0" w:color="auto"/>
              <w:right w:val="outset" w:sz="6" w:space="0" w:color="auto"/>
            </w:tcBorders>
            <w:hideMark/>
          </w:tcPr>
          <w:p w14:paraId="55F8A636" w14:textId="77777777" w:rsidR="0025703D" w:rsidRPr="0025703D" w:rsidRDefault="0025703D" w:rsidP="0025703D">
            <w:r w:rsidRPr="0025703D">
              <w:t>Los evaluadores no identifican si tienen relación con el peticionario</w:t>
            </w:r>
          </w:p>
        </w:tc>
        <w:tc>
          <w:tcPr>
            <w:tcW w:w="0" w:type="auto"/>
            <w:tcBorders>
              <w:top w:val="nil"/>
              <w:left w:val="nil"/>
              <w:bottom w:val="outset" w:sz="6" w:space="0" w:color="auto"/>
              <w:right w:val="outset" w:sz="6" w:space="0" w:color="auto"/>
            </w:tcBorders>
            <w:hideMark/>
          </w:tcPr>
          <w:p w14:paraId="3F0D47EC" w14:textId="77777777" w:rsidR="0025703D" w:rsidRPr="0025703D" w:rsidRDefault="0025703D" w:rsidP="0025703D">
            <w:r w:rsidRPr="0025703D">
              <w:rPr>
                <w:b/>
              </w:rPr>
              <w:t>Medio-Alto</w:t>
            </w:r>
          </w:p>
        </w:tc>
        <w:tc>
          <w:tcPr>
            <w:tcW w:w="0" w:type="auto"/>
            <w:tcBorders>
              <w:top w:val="nil"/>
              <w:left w:val="nil"/>
              <w:bottom w:val="outset" w:sz="6" w:space="0" w:color="auto"/>
              <w:right w:val="outset" w:sz="6" w:space="0" w:color="auto"/>
            </w:tcBorders>
            <w:hideMark/>
          </w:tcPr>
          <w:p w14:paraId="7B8D0E8F" w14:textId="77777777" w:rsidR="0025703D" w:rsidRPr="0025703D" w:rsidRDefault="0025703D" w:rsidP="0025703D">
            <w:r w:rsidRPr="0025703D">
              <w:t>Generalizado en fondos de emergencia COVID-19</w:t>
            </w:r>
          </w:p>
        </w:tc>
      </w:tr>
      <w:tr w:rsidR="0025703D" w:rsidRPr="0025703D" w14:paraId="469A8FFF" w14:textId="77777777">
        <w:trPr>
          <w:cantSplit/>
          <w:jc w:val="center"/>
        </w:trPr>
        <w:tc>
          <w:tcPr>
            <w:tcW w:w="0" w:type="auto"/>
            <w:tcBorders>
              <w:top w:val="nil"/>
              <w:left w:val="outset" w:sz="6" w:space="0" w:color="auto"/>
              <w:bottom w:val="outset" w:sz="6" w:space="0" w:color="auto"/>
              <w:right w:val="outset" w:sz="6" w:space="0" w:color="auto"/>
            </w:tcBorders>
            <w:hideMark/>
          </w:tcPr>
          <w:p w14:paraId="292147F3" w14:textId="77777777" w:rsidR="0025703D" w:rsidRPr="0025703D" w:rsidRDefault="0025703D" w:rsidP="0025703D">
            <w:r w:rsidRPr="0025703D">
              <w:t>Fondos de emergencia sin evaluación independiente de viabilidad</w:t>
            </w:r>
          </w:p>
        </w:tc>
        <w:tc>
          <w:tcPr>
            <w:tcW w:w="0" w:type="auto"/>
            <w:tcBorders>
              <w:top w:val="nil"/>
              <w:left w:val="nil"/>
              <w:bottom w:val="outset" w:sz="6" w:space="0" w:color="auto"/>
              <w:right w:val="outset" w:sz="6" w:space="0" w:color="auto"/>
            </w:tcBorders>
            <w:hideMark/>
          </w:tcPr>
          <w:p w14:paraId="7CD200BA" w14:textId="77777777" w:rsidR="0025703D" w:rsidRPr="0025703D" w:rsidRDefault="0025703D" w:rsidP="0025703D">
            <w:r w:rsidRPr="0025703D">
              <w:t>Urgencia como coartada para saltarse los controles ordinarios</w:t>
            </w:r>
          </w:p>
        </w:tc>
        <w:tc>
          <w:tcPr>
            <w:tcW w:w="0" w:type="auto"/>
            <w:tcBorders>
              <w:top w:val="nil"/>
              <w:left w:val="nil"/>
              <w:bottom w:val="outset" w:sz="6" w:space="0" w:color="auto"/>
              <w:right w:val="outset" w:sz="6" w:space="0" w:color="auto"/>
            </w:tcBorders>
            <w:hideMark/>
          </w:tcPr>
          <w:p w14:paraId="1F72DC67" w14:textId="77777777" w:rsidR="0025703D" w:rsidRPr="0025703D" w:rsidRDefault="0025703D" w:rsidP="0025703D">
            <w:r w:rsidRPr="0025703D">
              <w:rPr>
                <w:b/>
              </w:rPr>
              <w:t>Medio-Alto</w:t>
            </w:r>
          </w:p>
        </w:tc>
        <w:tc>
          <w:tcPr>
            <w:tcW w:w="0" w:type="auto"/>
            <w:tcBorders>
              <w:top w:val="nil"/>
              <w:left w:val="nil"/>
              <w:bottom w:val="outset" w:sz="6" w:space="0" w:color="auto"/>
              <w:right w:val="outset" w:sz="6" w:space="0" w:color="auto"/>
            </w:tcBorders>
            <w:hideMark/>
          </w:tcPr>
          <w:p w14:paraId="147E2693" w14:textId="77777777" w:rsidR="0025703D" w:rsidRPr="0025703D" w:rsidRDefault="0025703D" w:rsidP="0025703D">
            <w:r w:rsidRPr="0025703D">
              <w:t>FASEE: Plus Ultra con viabilidad empresarial cuestionada</w:t>
            </w:r>
          </w:p>
        </w:tc>
      </w:tr>
      <w:tr w:rsidR="0025703D" w:rsidRPr="0025703D" w14:paraId="3ED2BD6B" w14:textId="77777777">
        <w:trPr>
          <w:cantSplit/>
          <w:jc w:val="center"/>
        </w:trPr>
        <w:tc>
          <w:tcPr>
            <w:tcW w:w="0" w:type="auto"/>
            <w:tcBorders>
              <w:top w:val="nil"/>
              <w:left w:val="outset" w:sz="6" w:space="0" w:color="auto"/>
              <w:bottom w:val="outset" w:sz="6" w:space="0" w:color="auto"/>
              <w:right w:val="outset" w:sz="6" w:space="0" w:color="auto"/>
            </w:tcBorders>
            <w:hideMark/>
          </w:tcPr>
          <w:p w14:paraId="32930520" w14:textId="77777777" w:rsidR="0025703D" w:rsidRPr="0025703D" w:rsidRDefault="0025703D" w:rsidP="0025703D">
            <w:r w:rsidRPr="0025703D">
              <w:t>Entidades públicas con tutelaje político directo</w:t>
            </w:r>
          </w:p>
        </w:tc>
        <w:tc>
          <w:tcPr>
            <w:tcW w:w="0" w:type="auto"/>
            <w:tcBorders>
              <w:top w:val="nil"/>
              <w:left w:val="nil"/>
              <w:bottom w:val="outset" w:sz="6" w:space="0" w:color="auto"/>
              <w:right w:val="outset" w:sz="6" w:space="0" w:color="auto"/>
            </w:tcBorders>
            <w:hideMark/>
          </w:tcPr>
          <w:p w14:paraId="4D386E26" w14:textId="77777777" w:rsidR="0025703D" w:rsidRPr="0025703D" w:rsidRDefault="0025703D" w:rsidP="0025703D">
            <w:r w:rsidRPr="0025703D">
              <w:t>La dirección política de la entidad sustituye el criterio técnico</w:t>
            </w:r>
          </w:p>
        </w:tc>
        <w:tc>
          <w:tcPr>
            <w:tcW w:w="0" w:type="auto"/>
            <w:tcBorders>
              <w:top w:val="nil"/>
              <w:left w:val="nil"/>
              <w:bottom w:val="outset" w:sz="6" w:space="0" w:color="auto"/>
              <w:right w:val="outset" w:sz="6" w:space="0" w:color="auto"/>
            </w:tcBorders>
            <w:hideMark/>
          </w:tcPr>
          <w:p w14:paraId="08E67343" w14:textId="77777777" w:rsidR="0025703D" w:rsidRPr="0025703D" w:rsidRDefault="0025703D" w:rsidP="0025703D">
            <w:r w:rsidRPr="0025703D">
              <w:rPr>
                <w:b/>
              </w:rPr>
              <w:t>Medio</w:t>
            </w:r>
          </w:p>
        </w:tc>
        <w:tc>
          <w:tcPr>
            <w:tcW w:w="0" w:type="auto"/>
            <w:tcBorders>
              <w:top w:val="nil"/>
              <w:left w:val="nil"/>
              <w:bottom w:val="outset" w:sz="6" w:space="0" w:color="auto"/>
              <w:right w:val="outset" w:sz="6" w:space="0" w:color="auto"/>
            </w:tcBorders>
            <w:hideMark/>
          </w:tcPr>
          <w:p w14:paraId="0BE08173" w14:textId="77777777" w:rsidR="0025703D" w:rsidRPr="0025703D" w:rsidRDefault="0025703D" w:rsidP="0025703D">
            <w:r w:rsidRPr="0025703D">
              <w:t>SEPI bajo influencia atribuida a Fernández Guerrero</w:t>
            </w:r>
          </w:p>
        </w:tc>
      </w:tr>
      <w:tr w:rsidR="0025703D" w:rsidRPr="0025703D" w14:paraId="2A9909B5" w14:textId="77777777">
        <w:trPr>
          <w:cantSplit/>
          <w:jc w:val="center"/>
        </w:trPr>
        <w:tc>
          <w:tcPr>
            <w:tcW w:w="0" w:type="auto"/>
            <w:tcBorders>
              <w:top w:val="nil"/>
              <w:left w:val="outset" w:sz="6" w:space="0" w:color="auto"/>
              <w:bottom w:val="outset" w:sz="6" w:space="0" w:color="auto"/>
              <w:right w:val="outset" w:sz="6" w:space="0" w:color="auto"/>
            </w:tcBorders>
            <w:hideMark/>
          </w:tcPr>
          <w:p w14:paraId="35B984E5" w14:textId="77777777" w:rsidR="0025703D" w:rsidRPr="0025703D" w:rsidRDefault="0025703D" w:rsidP="0025703D">
            <w:r w:rsidRPr="0025703D">
              <w:t>Recursos universitarios usados para proyectos privados</w:t>
            </w:r>
          </w:p>
        </w:tc>
        <w:tc>
          <w:tcPr>
            <w:tcW w:w="0" w:type="auto"/>
            <w:tcBorders>
              <w:top w:val="nil"/>
              <w:left w:val="nil"/>
              <w:bottom w:val="outset" w:sz="6" w:space="0" w:color="auto"/>
              <w:right w:val="outset" w:sz="6" w:space="0" w:color="auto"/>
            </w:tcBorders>
            <w:hideMark/>
          </w:tcPr>
          <w:p w14:paraId="292C028F" w14:textId="77777777" w:rsidR="0025703D" w:rsidRPr="0025703D" w:rsidRDefault="0025703D" w:rsidP="0025703D">
            <w:r w:rsidRPr="0025703D">
              <w:t>Cátedras extraordinarias como vehículo de legitimación profesional</w:t>
            </w:r>
          </w:p>
        </w:tc>
        <w:tc>
          <w:tcPr>
            <w:tcW w:w="0" w:type="auto"/>
            <w:tcBorders>
              <w:top w:val="nil"/>
              <w:left w:val="nil"/>
              <w:bottom w:val="outset" w:sz="6" w:space="0" w:color="auto"/>
              <w:right w:val="outset" w:sz="6" w:space="0" w:color="auto"/>
            </w:tcBorders>
            <w:hideMark/>
          </w:tcPr>
          <w:p w14:paraId="186AF8BA" w14:textId="77777777" w:rsidR="0025703D" w:rsidRPr="0025703D" w:rsidRDefault="0025703D" w:rsidP="0025703D">
            <w:r w:rsidRPr="0025703D">
              <w:rPr>
                <w:b/>
              </w:rPr>
              <w:t>Medio</w:t>
            </w:r>
          </w:p>
        </w:tc>
        <w:tc>
          <w:tcPr>
            <w:tcW w:w="0" w:type="auto"/>
            <w:tcBorders>
              <w:top w:val="nil"/>
              <w:left w:val="nil"/>
              <w:bottom w:val="outset" w:sz="6" w:space="0" w:color="auto"/>
              <w:right w:val="outset" w:sz="6" w:space="0" w:color="auto"/>
            </w:tcBorders>
            <w:hideMark/>
          </w:tcPr>
          <w:p w14:paraId="5AD4A3B4" w14:textId="77777777" w:rsidR="0025703D" w:rsidRPr="0025703D" w:rsidRDefault="0025703D" w:rsidP="0025703D">
            <w:r w:rsidRPr="0025703D">
              <w:t>UCM: cátedra TSC de Begoña Gómez</w:t>
            </w:r>
          </w:p>
        </w:tc>
      </w:tr>
      <w:tr w:rsidR="0025703D" w:rsidRPr="0025703D" w14:paraId="24DBED48" w14:textId="77777777">
        <w:trPr>
          <w:cantSplit/>
          <w:jc w:val="center"/>
        </w:trPr>
        <w:tc>
          <w:tcPr>
            <w:tcW w:w="0" w:type="auto"/>
            <w:tcBorders>
              <w:top w:val="nil"/>
              <w:left w:val="outset" w:sz="6" w:space="0" w:color="auto"/>
              <w:bottom w:val="outset" w:sz="6" w:space="0" w:color="auto"/>
              <w:right w:val="outset" w:sz="6" w:space="0" w:color="auto"/>
            </w:tcBorders>
            <w:hideMark/>
          </w:tcPr>
          <w:p w14:paraId="4C162C03" w14:textId="77777777" w:rsidR="0025703D" w:rsidRPr="0025703D" w:rsidRDefault="0025703D" w:rsidP="0025703D">
            <w:r w:rsidRPr="0025703D">
              <w:t>Asesores de confianza pagados con dinero público para tareas privadas</w:t>
            </w:r>
          </w:p>
        </w:tc>
        <w:tc>
          <w:tcPr>
            <w:tcW w:w="0" w:type="auto"/>
            <w:tcBorders>
              <w:top w:val="nil"/>
              <w:left w:val="nil"/>
              <w:bottom w:val="outset" w:sz="6" w:space="0" w:color="auto"/>
              <w:right w:val="outset" w:sz="6" w:space="0" w:color="auto"/>
            </w:tcBorders>
            <w:hideMark/>
          </w:tcPr>
          <w:p w14:paraId="09A33EF8" w14:textId="77777777" w:rsidR="0025703D" w:rsidRPr="0025703D" w:rsidRDefault="0025703D" w:rsidP="0025703D">
            <w:r w:rsidRPr="0025703D">
              <w:t>Malversación encubierta en la figura del "asesor personal"</w:t>
            </w:r>
          </w:p>
        </w:tc>
        <w:tc>
          <w:tcPr>
            <w:tcW w:w="0" w:type="auto"/>
            <w:tcBorders>
              <w:top w:val="nil"/>
              <w:left w:val="nil"/>
              <w:bottom w:val="outset" w:sz="6" w:space="0" w:color="auto"/>
              <w:right w:val="outset" w:sz="6" w:space="0" w:color="auto"/>
            </w:tcBorders>
            <w:hideMark/>
          </w:tcPr>
          <w:p w14:paraId="56B35555" w14:textId="77777777" w:rsidR="0025703D" w:rsidRPr="0025703D" w:rsidRDefault="0025703D" w:rsidP="0025703D">
            <w:r w:rsidRPr="0025703D">
              <w:rPr>
                <w:b/>
              </w:rPr>
              <w:t>Medio</w:t>
            </w:r>
          </w:p>
        </w:tc>
        <w:tc>
          <w:tcPr>
            <w:tcW w:w="0" w:type="auto"/>
            <w:tcBorders>
              <w:top w:val="nil"/>
              <w:left w:val="nil"/>
              <w:bottom w:val="outset" w:sz="6" w:space="0" w:color="auto"/>
              <w:right w:val="outset" w:sz="6" w:space="0" w:color="auto"/>
            </w:tcBorders>
            <w:hideMark/>
          </w:tcPr>
          <w:p w14:paraId="38DD8249" w14:textId="77777777" w:rsidR="0025703D" w:rsidRPr="0025703D" w:rsidRDefault="0025703D" w:rsidP="0025703D">
            <w:r w:rsidRPr="0025703D">
              <w:t xml:space="preserve">Caso Cristina Álvarez / asesora de </w:t>
            </w:r>
            <w:proofErr w:type="gramStart"/>
            <w:r w:rsidRPr="0025703D">
              <w:t>Moncloa</w:t>
            </w:r>
            <w:proofErr w:type="gramEnd"/>
          </w:p>
        </w:tc>
      </w:tr>
    </w:tbl>
    <w:p w14:paraId="242AB6EE" w14:textId="77777777" w:rsidR="0025703D" w:rsidRPr="0025703D" w:rsidRDefault="0025703D" w:rsidP="0025703D">
      <w:r w:rsidRPr="0025703D">
        <w:t xml:space="preserve"> </w:t>
      </w:r>
    </w:p>
    <w:p w14:paraId="15B87EC9" w14:textId="77777777" w:rsidR="0025703D" w:rsidRPr="0025703D" w:rsidRDefault="0025703D" w:rsidP="0025703D">
      <w:bookmarkStart w:id="28" w:name="bm_6_3_patrones_sistémicos_de_la_captura"/>
      <w:bookmarkEnd w:id="28"/>
      <w:r w:rsidRPr="0025703D">
        <w:rPr>
          <w:b/>
        </w:rPr>
        <w:t>6.3 Patrones Sistémicos de la Captura</w:t>
      </w:r>
    </w:p>
    <w:p w14:paraId="61E4B2F1" w14:textId="77777777" w:rsidR="0025703D" w:rsidRPr="0025703D" w:rsidRDefault="0025703D" w:rsidP="0025703D">
      <w:r w:rsidRPr="0025703D">
        <w:t xml:space="preserve">Del análisis de los dos casos y del contexto más amplio del FASEE emergen </w:t>
      </w:r>
      <w:r w:rsidRPr="0025703D">
        <w:rPr>
          <w:b/>
        </w:rPr>
        <w:t>cinco patrones recurrentes</w:t>
      </w:r>
      <w:r w:rsidRPr="0025703D">
        <w:t xml:space="preserve"> que configuran la arquitectura de la captura sistémica en la gestión de fondos públicos españoles:</w:t>
      </w:r>
    </w:p>
    <w:p w14:paraId="1DB1C429" w14:textId="77777777" w:rsidR="0025703D" w:rsidRPr="0025703D" w:rsidRDefault="0025703D" w:rsidP="0025703D">
      <w:r w:rsidRPr="0025703D">
        <w:rPr>
          <w:b/>
        </w:rPr>
        <w:t>1. El intermediario con doble legitimidad</w:t>
      </w:r>
      <w:r w:rsidRPr="0025703D">
        <w:t>: opera simultáneamente en el sector privado (con clientes que pagan comisiones) y en el espacio político-administrativo (con contactos en la Administración). Su valor no es técnico sino relacional. En Plus Ultra, este papel corresponde a Julio Martínez; en el caso SEPI más amplio, a Vicente Fernández Guerrero.</w:t>
      </w:r>
    </w:p>
    <w:p w14:paraId="47BF0EFE" w14:textId="77777777" w:rsidR="0025703D" w:rsidRPr="0025703D" w:rsidRDefault="0025703D" w:rsidP="0025703D">
      <w:r w:rsidRPr="0025703D">
        <w:rPr>
          <w:b/>
        </w:rPr>
        <w:t>2. La temporalidad de los fondos de emergencia como ventana de oportunidad</w:t>
      </w:r>
      <w:r w:rsidRPr="0025703D">
        <w:t>: los fondos COVID-19 se diseñaron bajo urgencia, con criterios amplios, controles reducidos y órganos de resolución con alto grado de discrecionalidad. Esto creó un ecosistema ideal para la intermediación. Las investigaciones afectan a 39% del valor total del FASEE.</w:t>
      </w:r>
    </w:p>
    <w:p w14:paraId="07AF05A9" w14:textId="77777777" w:rsidR="0025703D" w:rsidRPr="0025703D" w:rsidRDefault="0025703D" w:rsidP="0025703D">
      <w:r w:rsidRPr="0025703D">
        <w:rPr>
          <w:b/>
        </w:rPr>
        <w:t>3. La institución de legitimidad como pantalla</w:t>
      </w:r>
      <w:r w:rsidRPr="0025703D">
        <w:t>: la cátedra universitaria (caso Gómez) o el contrato de consultoría (caso Plus Ultra) funcionan como envoltorios de legitimidad formal que dificultan la identificación del delito desde el exterior. El software o el plan de negocio tienen existencia real, pero son secundarios respecto a la relación de poder que los hace viables.</w:t>
      </w:r>
    </w:p>
    <w:p w14:paraId="6078E0A3" w14:textId="77777777" w:rsidR="0025703D" w:rsidRPr="0025703D" w:rsidRDefault="0025703D" w:rsidP="0025703D">
      <w:r w:rsidRPr="0025703D">
        <w:rPr>
          <w:b/>
        </w:rPr>
        <w:lastRenderedPageBreak/>
        <w:t>4. La opacidad deliberada como elemento estructural</w:t>
      </w:r>
      <w:r w:rsidRPr="0025703D">
        <w:t xml:space="preserve">: en Plus Ultra, mediante sociedades </w:t>
      </w:r>
      <w:proofErr w:type="gramStart"/>
      <w:r w:rsidRPr="0025703D">
        <w:t>offshore</w:t>
      </w:r>
      <w:proofErr w:type="gramEnd"/>
      <w:r w:rsidRPr="0025703D">
        <w:t>, testaferros y contratos ad hoc; en el caso Gómez, mediante la informalidad de las reuniones (sin representantes universitarios, sin actas). La opacidad no es un accidente sino una decisión de diseño.</w:t>
      </w:r>
    </w:p>
    <w:p w14:paraId="184EA88E" w14:textId="77777777" w:rsidR="0025703D" w:rsidRPr="0025703D" w:rsidRDefault="0025703D" w:rsidP="0025703D">
      <w:r w:rsidRPr="0025703D">
        <w:rPr>
          <w:b/>
        </w:rPr>
        <w:t>5. La policía judicial como único dique efectivo</w:t>
      </w:r>
      <w:r w:rsidRPr="0025703D">
        <w:t>: en ambos casos, la UDEF ha sido el motor real de la instrucción. La cooperación internacional (</w:t>
      </w:r>
      <w:proofErr w:type="gramStart"/>
      <w:r w:rsidRPr="0025703D">
        <w:t>EE.UU.</w:t>
      </w:r>
      <w:proofErr w:type="gramEnd"/>
      <w:r w:rsidRPr="0025703D">
        <w:t xml:space="preserve"> en Plus Ultra; Fiscalía Europea en Barrabés) ha resultado imprescindible para cruzar la barrera de la opacidad doméstica. Los mecanismos administrativos de control —IGAE, Tribunal de Cuentas, Intervención— no detectaron las irregularidades.</w:t>
      </w:r>
    </w:p>
    <w:p w14:paraId="1CA5132C" w14:textId="1378425A" w:rsidR="0025703D" w:rsidRPr="0025703D" w:rsidRDefault="0025703D" w:rsidP="0025703D">
      <w:r w:rsidRPr="0025703D">
        <w:drawing>
          <wp:inline distT="0" distB="0" distL="0" distR="0" wp14:anchorId="6693E322" wp14:editId="12A9B458">
            <wp:extent cx="5400040" cy="8255"/>
            <wp:effectExtent l="0" t="0" r="0" b="0"/>
            <wp:docPr id="21207252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03DD52AF" w14:textId="77777777" w:rsidR="0025703D" w:rsidRPr="0025703D" w:rsidRDefault="0025703D" w:rsidP="0025703D">
      <w:bookmarkStart w:id="29" w:name="bm_7_implicaciones_y_conclusiones"/>
      <w:bookmarkEnd w:id="29"/>
      <w:r w:rsidRPr="0025703D">
        <w:rPr>
          <w:b/>
        </w:rPr>
        <w:t>7. Implicaciones y Conclusiones</w:t>
      </w:r>
    </w:p>
    <w:p w14:paraId="5CB9B2ED" w14:textId="77777777" w:rsidR="0025703D" w:rsidRPr="0025703D" w:rsidRDefault="0025703D" w:rsidP="0025703D">
      <w:bookmarkStart w:id="30" w:name="bm_7_1_el_precedente_político_judicial"/>
      <w:bookmarkEnd w:id="30"/>
      <w:r w:rsidRPr="0025703D">
        <w:rPr>
          <w:b/>
        </w:rPr>
        <w:t>7.1 El Precedente Político-Judicial</w:t>
      </w:r>
    </w:p>
    <w:p w14:paraId="5B122682" w14:textId="77777777" w:rsidR="0025703D" w:rsidRPr="0025703D" w:rsidRDefault="0025703D" w:rsidP="0025703D">
      <w:r w:rsidRPr="0025703D">
        <w:t>La imputación de un expresidente del Gobierno como presunto líder de una organización criminal de tráfico de influencias —hecho sin precedentes en la democracia española— y la apertura de juicio oral con jurado popular contra la esposa del presidente en ejercicio configuran un escenario de erosión institucional de primer orden. La simultaneidad de ambos casos, vinculados al mismo partido de gobierno, plantea interrogantes estructurales sobre los mecanismos de control del poder ejecutivo sobre los fondos públicos.</w:t>
      </w:r>
    </w:p>
    <w:p w14:paraId="625C1F18" w14:textId="77777777" w:rsidR="0025703D" w:rsidRPr="0025703D" w:rsidRDefault="0025703D" w:rsidP="0025703D">
      <w:bookmarkStart w:id="31" w:name="bm_7_2_las_limitaciones_del_marco_779650"/>
      <w:bookmarkEnd w:id="31"/>
      <w:r w:rsidRPr="0025703D">
        <w:rPr>
          <w:b/>
        </w:rPr>
        <w:t>7.2 Las Limitaciones del Marco Punitivo Actual</w:t>
      </w:r>
    </w:p>
    <w:p w14:paraId="0321BBB5" w14:textId="77777777" w:rsidR="0025703D" w:rsidRPr="0025703D" w:rsidRDefault="0025703D" w:rsidP="0025703D">
      <w:r w:rsidRPr="0025703D">
        <w:t>El tipo penal de tráfico de influencias presenta limitaciones estructurales que los propios casos evidencian:</w:t>
      </w:r>
    </w:p>
    <w:p w14:paraId="402AB604" w14:textId="77777777" w:rsidR="0025703D" w:rsidRPr="0025703D" w:rsidRDefault="0025703D" w:rsidP="0025703D">
      <w:pPr>
        <w:numPr>
          <w:ilvl w:val="0"/>
          <w:numId w:val="10"/>
        </w:numPr>
        <w:tabs>
          <w:tab w:val="clear" w:pos="0"/>
          <w:tab w:val="clear" w:pos="675"/>
        </w:tabs>
      </w:pPr>
      <w:r w:rsidRPr="0025703D">
        <w:t xml:space="preserve">La exigencia de </w:t>
      </w:r>
      <w:r w:rsidRPr="0025703D">
        <w:rPr>
          <w:b/>
        </w:rPr>
        <w:t>dolo directo</w:t>
      </w:r>
      <w:r w:rsidRPr="0025703D">
        <w:t xml:space="preserve"> dificulta la imputación cuando la influencia opera de forma difusa o simbólica (caso Gómez)</w:t>
      </w:r>
    </w:p>
    <w:p w14:paraId="41959830" w14:textId="77777777" w:rsidR="0025703D" w:rsidRPr="0025703D" w:rsidRDefault="0025703D" w:rsidP="0025703D">
      <w:pPr>
        <w:numPr>
          <w:ilvl w:val="0"/>
          <w:numId w:val="10"/>
        </w:numPr>
        <w:tabs>
          <w:tab w:val="clear" w:pos="0"/>
          <w:tab w:val="clear" w:pos="675"/>
        </w:tabs>
      </w:pPr>
      <w:r w:rsidRPr="0025703D">
        <w:t xml:space="preserve">La distinción entre </w:t>
      </w:r>
      <w:r w:rsidRPr="0025703D">
        <w:rPr>
          <w:b/>
        </w:rPr>
        <w:t>asesoría legítima</w:t>
      </w:r>
      <w:r w:rsidRPr="0025703D">
        <w:t xml:space="preserve"> de un expresidente y tráfico de influencias ilícito no tiene contornos jurídicos nítidos</w:t>
      </w:r>
    </w:p>
    <w:p w14:paraId="22FC4706" w14:textId="77777777" w:rsidR="0025703D" w:rsidRPr="0025703D" w:rsidRDefault="0025703D" w:rsidP="0025703D">
      <w:pPr>
        <w:numPr>
          <w:ilvl w:val="0"/>
          <w:numId w:val="10"/>
        </w:numPr>
        <w:tabs>
          <w:tab w:val="clear" w:pos="0"/>
          <w:tab w:val="clear" w:pos="675"/>
        </w:tabs>
      </w:pPr>
      <w:r w:rsidRPr="0025703D">
        <w:t xml:space="preserve">El tipo no contempla explícitamente la </w:t>
      </w:r>
      <w:r w:rsidRPr="0025703D">
        <w:rPr>
          <w:b/>
        </w:rPr>
        <w:t>influencia negativa</w:t>
      </w:r>
      <w:r w:rsidRPr="0025703D">
        <w:t xml:space="preserve"> (conseguir que no se investiguen, que no se denieguen, que se dilaten los controles)</w:t>
      </w:r>
    </w:p>
    <w:p w14:paraId="433D8600" w14:textId="77777777" w:rsidR="0025703D" w:rsidRPr="0025703D" w:rsidRDefault="0025703D" w:rsidP="0025703D">
      <w:pPr>
        <w:numPr>
          <w:ilvl w:val="0"/>
          <w:numId w:val="10"/>
        </w:numPr>
        <w:tabs>
          <w:tab w:val="clear" w:pos="0"/>
          <w:tab w:val="clear" w:pos="675"/>
        </w:tabs>
      </w:pPr>
      <w:r w:rsidRPr="0025703D">
        <w:t xml:space="preserve">La pena de </w:t>
      </w:r>
      <w:r w:rsidRPr="0025703D">
        <w:rPr>
          <w:b/>
        </w:rPr>
        <w:t>6 meses a 2 años</w:t>
      </w:r>
      <w:r w:rsidRPr="0025703D">
        <w:t xml:space="preserve"> es manifiestamente desproporcionada respecto al potencial daño patrimonial al </w:t>
      </w:r>
      <w:proofErr w:type="gramStart"/>
      <w:r w:rsidRPr="0025703D">
        <w:t>erario público</w:t>
      </w:r>
      <w:proofErr w:type="gramEnd"/>
    </w:p>
    <w:p w14:paraId="2A4A7928" w14:textId="77777777" w:rsidR="0025703D" w:rsidRPr="0025703D" w:rsidRDefault="0025703D" w:rsidP="0025703D">
      <w:bookmarkStart w:id="32" w:name="bm_7_3_recomendaciones_de_control_72591f"/>
      <w:bookmarkEnd w:id="32"/>
      <w:r w:rsidRPr="0025703D">
        <w:rPr>
          <w:b/>
        </w:rPr>
        <w:t>7.3 Recomendaciones de Control Sistémico</w:t>
      </w:r>
    </w:p>
    <w:p w14:paraId="0616AE21" w14:textId="77777777" w:rsidR="0025703D" w:rsidRPr="0025703D" w:rsidRDefault="0025703D" w:rsidP="0025703D">
      <w:r w:rsidRPr="0025703D">
        <w:t>Los casos analizados permiten identificar un conjunto de reformas estructurales cuya ausencia facilita la captura:</w:t>
      </w:r>
    </w:p>
    <w:p w14:paraId="2F22DD1D" w14:textId="77777777" w:rsidR="0025703D" w:rsidRPr="0025703D" w:rsidRDefault="0025703D" w:rsidP="0025703D">
      <w:pPr>
        <w:numPr>
          <w:ilvl w:val="0"/>
          <w:numId w:val="11"/>
        </w:numPr>
        <w:tabs>
          <w:tab w:val="clear" w:pos="0"/>
          <w:tab w:val="clear" w:pos="675"/>
        </w:tabs>
      </w:pPr>
      <w:r w:rsidRPr="0025703D">
        <w:rPr>
          <w:b/>
        </w:rPr>
        <w:t>Desclasificación automática</w:t>
      </w:r>
      <w:r w:rsidRPr="0025703D">
        <w:t xml:space="preserve"> de expedientes de subvención y rescate una vez resuelta la adjudicación, salvo razón explícita de seguridad nacional</w:t>
      </w:r>
    </w:p>
    <w:p w14:paraId="6789730E" w14:textId="77777777" w:rsidR="0025703D" w:rsidRPr="0025703D" w:rsidRDefault="0025703D" w:rsidP="0025703D">
      <w:pPr>
        <w:numPr>
          <w:ilvl w:val="0"/>
          <w:numId w:val="11"/>
        </w:numPr>
        <w:tabs>
          <w:tab w:val="clear" w:pos="0"/>
          <w:tab w:val="clear" w:pos="675"/>
        </w:tabs>
      </w:pPr>
      <w:r w:rsidRPr="0025703D">
        <w:rPr>
          <w:b/>
        </w:rPr>
        <w:t>Comités de evaluación independientes</w:t>
      </w:r>
      <w:r w:rsidRPr="0025703D">
        <w:t xml:space="preserve"> para fondos por encima de un umbral (por ejemplo, 10 millones de euros), con miembros no designados políticamente</w:t>
      </w:r>
    </w:p>
    <w:p w14:paraId="1F0FD1E8" w14:textId="77777777" w:rsidR="0025703D" w:rsidRPr="0025703D" w:rsidRDefault="0025703D" w:rsidP="0025703D">
      <w:pPr>
        <w:numPr>
          <w:ilvl w:val="0"/>
          <w:numId w:val="11"/>
        </w:numPr>
        <w:tabs>
          <w:tab w:val="clear" w:pos="0"/>
          <w:tab w:val="clear" w:pos="675"/>
        </w:tabs>
      </w:pPr>
      <w:r w:rsidRPr="0025703D">
        <w:rPr>
          <w:b/>
        </w:rPr>
        <w:t xml:space="preserve">Registro obligatorio de </w:t>
      </w:r>
      <w:proofErr w:type="spellStart"/>
      <w:r w:rsidRPr="0025703D">
        <w:rPr>
          <w:b/>
        </w:rPr>
        <w:t>lobbying</w:t>
      </w:r>
      <w:proofErr w:type="spellEnd"/>
      <w:r w:rsidRPr="0025703D">
        <w:t xml:space="preserve"> con acceso público, que incluya a expresidentes, excargos y familiares del titular del ejecutivo</w:t>
      </w:r>
    </w:p>
    <w:p w14:paraId="3CF46163" w14:textId="77777777" w:rsidR="0025703D" w:rsidRPr="0025703D" w:rsidRDefault="0025703D" w:rsidP="0025703D">
      <w:pPr>
        <w:numPr>
          <w:ilvl w:val="0"/>
          <w:numId w:val="11"/>
        </w:numPr>
        <w:tabs>
          <w:tab w:val="clear" w:pos="0"/>
          <w:tab w:val="clear" w:pos="675"/>
        </w:tabs>
      </w:pPr>
      <w:r w:rsidRPr="0025703D">
        <w:rPr>
          <w:b/>
        </w:rPr>
        <w:lastRenderedPageBreak/>
        <w:t>Declaración de conflicto de interés</w:t>
      </w:r>
      <w:r w:rsidRPr="0025703D">
        <w:t xml:space="preserve"> de los evaluadores técnicos con carácter previo a su participación en el expediente</w:t>
      </w:r>
    </w:p>
    <w:p w14:paraId="0648DDF9" w14:textId="77777777" w:rsidR="0025703D" w:rsidRPr="0025703D" w:rsidRDefault="0025703D" w:rsidP="0025703D">
      <w:pPr>
        <w:numPr>
          <w:ilvl w:val="0"/>
          <w:numId w:val="11"/>
        </w:numPr>
        <w:tabs>
          <w:tab w:val="clear" w:pos="0"/>
          <w:tab w:val="clear" w:pos="675"/>
        </w:tabs>
      </w:pPr>
      <w:r w:rsidRPr="0025703D">
        <w:rPr>
          <w:b/>
        </w:rPr>
        <w:t>Auditoría forense aleatoria</w:t>
      </w:r>
      <w:r w:rsidRPr="0025703D">
        <w:t xml:space="preserve"> del 10% de los expedientes de subvención y rescate por parte de organismos independientes de la administración concedente</w:t>
      </w:r>
    </w:p>
    <w:p w14:paraId="3478461E" w14:textId="77777777" w:rsidR="0025703D" w:rsidRPr="0025703D" w:rsidRDefault="0025703D" w:rsidP="0025703D">
      <w:pPr>
        <w:numPr>
          <w:ilvl w:val="0"/>
          <w:numId w:val="11"/>
        </w:numPr>
        <w:tabs>
          <w:tab w:val="clear" w:pos="0"/>
          <w:tab w:val="clear" w:pos="675"/>
        </w:tabs>
      </w:pPr>
      <w:r w:rsidRPr="0025703D">
        <w:rPr>
          <w:b/>
        </w:rPr>
        <w:t>Tipificación agravada</w:t>
      </w:r>
      <w:r w:rsidRPr="0025703D">
        <w:t xml:space="preserve"> cuando el tráfico de influencias se ejerza a través de estructuras societarias diseñadas para ocultar el flujo de fondos (blanqueo conexo como agravante)</w:t>
      </w:r>
    </w:p>
    <w:p w14:paraId="0526AA45" w14:textId="77777777" w:rsidR="0025703D" w:rsidRPr="0025703D" w:rsidRDefault="0025703D" w:rsidP="0025703D">
      <w:pPr>
        <w:numPr>
          <w:ilvl w:val="0"/>
          <w:numId w:val="11"/>
        </w:numPr>
        <w:tabs>
          <w:tab w:val="clear" w:pos="0"/>
          <w:tab w:val="clear" w:pos="675"/>
        </w:tabs>
      </w:pPr>
      <w:r w:rsidRPr="0025703D">
        <w:rPr>
          <w:b/>
        </w:rPr>
        <w:t>Canal de alerta temprana</w:t>
      </w:r>
      <w:r w:rsidRPr="0025703D">
        <w:t xml:space="preserve"> para funcionarios que reciban presiones informales para modificar criterios de evaluación, con protección reforzada del informante</w:t>
      </w:r>
    </w:p>
    <w:p w14:paraId="375EC37A" w14:textId="66A818C8" w:rsidR="0025703D" w:rsidRPr="0025703D" w:rsidRDefault="0025703D" w:rsidP="0025703D">
      <w:r w:rsidRPr="0025703D">
        <w:drawing>
          <wp:inline distT="0" distB="0" distL="0" distR="0" wp14:anchorId="527D84C3" wp14:editId="4E211825">
            <wp:extent cx="5400040" cy="8255"/>
            <wp:effectExtent l="0" t="0" r="0" b="0"/>
            <wp:docPr id="162340809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8255"/>
                    </a:xfrm>
                    <a:prstGeom prst="rect">
                      <a:avLst/>
                    </a:prstGeom>
                    <a:noFill/>
                    <a:ln>
                      <a:noFill/>
                    </a:ln>
                  </pic:spPr>
                </pic:pic>
              </a:graphicData>
            </a:graphic>
          </wp:inline>
        </w:drawing>
      </w:r>
    </w:p>
    <w:p w14:paraId="497DF1D1" w14:textId="77777777" w:rsidR="0025703D" w:rsidRPr="0025703D" w:rsidRDefault="0025703D" w:rsidP="0025703D">
      <w:r w:rsidRPr="0025703D">
        <w:rPr>
          <w:i/>
        </w:rPr>
        <w:t xml:space="preserve">Informe elaborado con información procedente de resoluciones judiciales públicas, crónicas verificadas de medios nacionales e internacionales, y análisis doctrinales. Las imputaciones analizadas son indiciarias; ninguno de los investigados ha sido condenado. Fuentes principales: </w:t>
      </w:r>
      <w:hyperlink r:id="rId27" w:history="1">
        <w:r w:rsidRPr="0025703D">
          <w:rPr>
            <w:rStyle w:val="Hipervnculo"/>
            <w:i/>
          </w:rPr>
          <w:t>El Plural</w:t>
        </w:r>
      </w:hyperlink>
      <w:r w:rsidRPr="0025703D">
        <w:rPr>
          <w:i/>
        </w:rPr>
        <w:t xml:space="preserve"> | </w:t>
      </w:r>
      <w:hyperlink r:id="rId28" w:history="1">
        <w:r w:rsidRPr="0025703D">
          <w:rPr>
            <w:rStyle w:val="Hipervnculo"/>
            <w:i/>
          </w:rPr>
          <w:t>Infobae España</w:t>
        </w:r>
      </w:hyperlink>
      <w:r w:rsidRPr="0025703D">
        <w:rPr>
          <w:i/>
        </w:rPr>
        <w:t xml:space="preserve"> | </w:t>
      </w:r>
      <w:hyperlink r:id="rId29" w:history="1">
        <w:r w:rsidRPr="0025703D">
          <w:rPr>
            <w:rStyle w:val="Hipervnculo"/>
            <w:i/>
          </w:rPr>
          <w:t>El País</w:t>
        </w:r>
      </w:hyperlink>
      <w:r w:rsidRPr="0025703D">
        <w:rPr>
          <w:i/>
        </w:rPr>
        <w:t xml:space="preserve"> | </w:t>
      </w:r>
      <w:hyperlink r:id="rId30" w:history="1">
        <w:r w:rsidRPr="0025703D">
          <w:rPr>
            <w:rStyle w:val="Hipervnculo"/>
            <w:i/>
          </w:rPr>
          <w:t>El Español</w:t>
        </w:r>
      </w:hyperlink>
      <w:r w:rsidRPr="0025703D">
        <w:rPr>
          <w:i/>
        </w:rPr>
        <w:t xml:space="preserve"> | </w:t>
      </w:r>
      <w:hyperlink r:id="rId31" w:history="1">
        <w:r w:rsidRPr="0025703D">
          <w:rPr>
            <w:rStyle w:val="Hipervnculo"/>
            <w:i/>
          </w:rPr>
          <w:t>La Voz de Galicia</w:t>
        </w:r>
      </w:hyperlink>
      <w:r w:rsidRPr="0025703D">
        <w:rPr>
          <w:i/>
        </w:rPr>
        <w:t xml:space="preserve"> | </w:t>
      </w:r>
      <w:hyperlink r:id="rId32" w:history="1">
        <w:r w:rsidRPr="0025703D">
          <w:rPr>
            <w:rStyle w:val="Hipervnculo"/>
            <w:i/>
          </w:rPr>
          <w:t>BBC Mundo</w:t>
        </w:r>
      </w:hyperlink>
      <w:r w:rsidRPr="0025703D">
        <w:rPr>
          <w:i/>
        </w:rPr>
        <w:t xml:space="preserve"> | </w:t>
      </w:r>
      <w:hyperlink r:id="rId33" w:history="1">
        <w:r w:rsidRPr="0025703D">
          <w:rPr>
            <w:rStyle w:val="Hipervnculo"/>
            <w:i/>
          </w:rPr>
          <w:t>RTVE</w:t>
        </w:r>
      </w:hyperlink>
      <w:r w:rsidRPr="0025703D">
        <w:rPr>
          <w:i/>
        </w:rPr>
        <w:t xml:space="preserve"> | </w:t>
      </w:r>
      <w:hyperlink r:id="rId34" w:history="1">
        <w:r w:rsidRPr="0025703D">
          <w:rPr>
            <w:rStyle w:val="Hipervnculo"/>
            <w:i/>
          </w:rPr>
          <w:t>Voz Pópuli</w:t>
        </w:r>
      </w:hyperlink>
      <w:r w:rsidRPr="0025703D">
        <w:rPr>
          <w:i/>
        </w:rPr>
        <w:t xml:space="preserve"> | </w:t>
      </w:r>
      <w:hyperlink r:id="rId35" w:history="1">
        <w:r w:rsidRPr="0025703D">
          <w:rPr>
            <w:rStyle w:val="Hipervnculo"/>
            <w:i/>
          </w:rPr>
          <w:t>Conceptos Jurídicos</w:t>
        </w:r>
      </w:hyperlink>
    </w:p>
    <w:p w14:paraId="50168C28" w14:textId="77777777" w:rsidR="009750B2" w:rsidRDefault="009750B2"/>
    <w:sectPr w:rsidR="009750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6CF5"/>
    <w:multiLevelType w:val="multilevel"/>
    <w:tmpl w:val="8C3A18CC"/>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777BDC"/>
    <w:multiLevelType w:val="multilevel"/>
    <w:tmpl w:val="EF76123E"/>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E973F6"/>
    <w:multiLevelType w:val="multilevel"/>
    <w:tmpl w:val="C7802112"/>
    <w:lvl w:ilvl="0">
      <w:start w:val="1"/>
      <w:numFmt w:val="decimal"/>
      <w:lvlText w:val="%1."/>
      <w:lvlJc w:val="left"/>
      <w:pPr>
        <w:tabs>
          <w:tab w:val="left" w:pos="0"/>
          <w:tab w:val="left" w:pos="675"/>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055DEF"/>
    <w:multiLevelType w:val="multilevel"/>
    <w:tmpl w:val="B3AC4E1E"/>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EE5B58"/>
    <w:multiLevelType w:val="multilevel"/>
    <w:tmpl w:val="3522D90C"/>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0C31D6F"/>
    <w:multiLevelType w:val="multilevel"/>
    <w:tmpl w:val="E3944FAC"/>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1A2D63"/>
    <w:multiLevelType w:val="multilevel"/>
    <w:tmpl w:val="EA5A1102"/>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724D3A"/>
    <w:multiLevelType w:val="multilevel"/>
    <w:tmpl w:val="03C04C8C"/>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7F07F6"/>
    <w:multiLevelType w:val="multilevel"/>
    <w:tmpl w:val="52F4B10A"/>
    <w:lvl w:ilvl="0">
      <w:start w:val="1"/>
      <w:numFmt w:val="bullet"/>
      <w:lvlText w:val=""/>
      <w:lvlJc w:val="left"/>
      <w:pPr>
        <w:tabs>
          <w:tab w:val="left" w:pos="0"/>
          <w:tab w:val="left" w:pos="675"/>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E568FF"/>
    <w:multiLevelType w:val="multilevel"/>
    <w:tmpl w:val="9D2C1B3C"/>
    <w:lvl w:ilvl="0">
      <w:start w:val="1"/>
      <w:numFmt w:val="decimal"/>
      <w:lvlText w:val="%1."/>
      <w:lvlJc w:val="left"/>
      <w:pPr>
        <w:tabs>
          <w:tab w:val="left" w:pos="0"/>
          <w:tab w:val="left" w:pos="675"/>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0765C3"/>
    <w:multiLevelType w:val="multilevel"/>
    <w:tmpl w:val="8D9E4F3E"/>
    <w:lvl w:ilvl="0">
      <w:start w:val="1"/>
      <w:numFmt w:val="decimal"/>
      <w:lvlText w:val="%1."/>
      <w:lvlJc w:val="left"/>
      <w:pPr>
        <w:tabs>
          <w:tab w:val="left" w:pos="0"/>
          <w:tab w:val="left" w:pos="675"/>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809945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5916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2666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82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96151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14049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551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6425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3369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4604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8976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D"/>
    <w:rsid w:val="0025703D"/>
    <w:rsid w:val="00262C72"/>
    <w:rsid w:val="00752A8C"/>
    <w:rsid w:val="007F6743"/>
    <w:rsid w:val="0097448C"/>
    <w:rsid w:val="009750B2"/>
    <w:rsid w:val="00AC416C"/>
    <w:rsid w:val="00CE3A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D842"/>
  <w15:chartTrackingRefBased/>
  <w15:docId w15:val="{DAC75867-46EF-4745-ADF4-BB08773C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7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7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70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70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70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70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70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70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70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70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70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70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70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70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70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70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70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703D"/>
    <w:rPr>
      <w:rFonts w:eastAsiaTheme="majorEastAsia" w:cstheme="majorBidi"/>
      <w:color w:val="272727" w:themeColor="text1" w:themeTint="D8"/>
    </w:rPr>
  </w:style>
  <w:style w:type="paragraph" w:styleId="Ttulo">
    <w:name w:val="Title"/>
    <w:basedOn w:val="Normal"/>
    <w:next w:val="Normal"/>
    <w:link w:val="TtuloCar"/>
    <w:uiPriority w:val="10"/>
    <w:qFormat/>
    <w:rsid w:val="0025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70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70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70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703D"/>
    <w:pPr>
      <w:spacing w:before="160"/>
      <w:jc w:val="center"/>
    </w:pPr>
    <w:rPr>
      <w:i/>
      <w:iCs/>
      <w:color w:val="404040" w:themeColor="text1" w:themeTint="BF"/>
    </w:rPr>
  </w:style>
  <w:style w:type="character" w:customStyle="1" w:styleId="CitaCar">
    <w:name w:val="Cita Car"/>
    <w:basedOn w:val="Fuentedeprrafopredeter"/>
    <w:link w:val="Cita"/>
    <w:uiPriority w:val="29"/>
    <w:rsid w:val="0025703D"/>
    <w:rPr>
      <w:i/>
      <w:iCs/>
      <w:color w:val="404040" w:themeColor="text1" w:themeTint="BF"/>
    </w:rPr>
  </w:style>
  <w:style w:type="paragraph" w:styleId="Prrafodelista">
    <w:name w:val="List Paragraph"/>
    <w:basedOn w:val="Normal"/>
    <w:uiPriority w:val="34"/>
    <w:qFormat/>
    <w:rsid w:val="0025703D"/>
    <w:pPr>
      <w:ind w:left="720"/>
      <w:contextualSpacing/>
    </w:pPr>
  </w:style>
  <w:style w:type="character" w:styleId="nfasisintenso">
    <w:name w:val="Intense Emphasis"/>
    <w:basedOn w:val="Fuentedeprrafopredeter"/>
    <w:uiPriority w:val="21"/>
    <w:qFormat/>
    <w:rsid w:val="0025703D"/>
    <w:rPr>
      <w:i/>
      <w:iCs/>
      <w:color w:val="0F4761" w:themeColor="accent1" w:themeShade="BF"/>
    </w:rPr>
  </w:style>
  <w:style w:type="paragraph" w:styleId="Citadestacada">
    <w:name w:val="Intense Quote"/>
    <w:basedOn w:val="Normal"/>
    <w:next w:val="Normal"/>
    <w:link w:val="CitadestacadaCar"/>
    <w:uiPriority w:val="30"/>
    <w:qFormat/>
    <w:rsid w:val="00257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703D"/>
    <w:rPr>
      <w:i/>
      <w:iCs/>
      <w:color w:val="0F4761" w:themeColor="accent1" w:themeShade="BF"/>
    </w:rPr>
  </w:style>
  <w:style w:type="character" w:styleId="Referenciaintensa">
    <w:name w:val="Intense Reference"/>
    <w:basedOn w:val="Fuentedeprrafopredeter"/>
    <w:uiPriority w:val="32"/>
    <w:qFormat/>
    <w:rsid w:val="0025703D"/>
    <w:rPr>
      <w:b/>
      <w:bCs/>
      <w:smallCaps/>
      <w:color w:val="0F4761" w:themeColor="accent1" w:themeShade="BF"/>
      <w:spacing w:val="5"/>
    </w:rPr>
  </w:style>
  <w:style w:type="character" w:styleId="Hipervnculo">
    <w:name w:val="Hyperlink"/>
    <w:basedOn w:val="Fuentedeprrafopredeter"/>
    <w:uiPriority w:val="99"/>
    <w:unhideWhenUsed/>
    <w:rsid w:val="0025703D"/>
    <w:rPr>
      <w:color w:val="467886" w:themeColor="hyperlink"/>
      <w:u w:val="single"/>
    </w:rPr>
  </w:style>
  <w:style w:type="character" w:styleId="Mencinsinresolver">
    <w:name w:val="Unresolved Mention"/>
    <w:basedOn w:val="Fuentedeprrafopredeter"/>
    <w:uiPriority w:val="99"/>
    <w:semiHidden/>
    <w:unhideWhenUsed/>
    <w:rsid w:val="0025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plural.com/sociedad/tribunales/juez-situa-zapatero-lider-escructura-jerarquizada-obtener-beneficios-economicos-plus-ultra_390466102" TargetMode="External"/><Relationship Id="rId18" Type="http://schemas.openxmlformats.org/officeDocument/2006/relationships/hyperlink" Target="https://elpais.com/espana/2026-04-19/un-master-una-asesora-y-dos-cartas-diseccionando-el-caso-begona.html" TargetMode="External"/><Relationship Id="rId26" Type="http://schemas.openxmlformats.org/officeDocument/2006/relationships/hyperlink" Target="http://Red.es" TargetMode="External"/><Relationship Id="rId21" Type="http://schemas.openxmlformats.org/officeDocument/2006/relationships/hyperlink" Target="https://elpais.com/espana/2026-04-19/un-master-una-asesora-y-dos-cartas-diseccionando-el-caso-begona.html" TargetMode="External"/><Relationship Id="rId34" Type="http://schemas.openxmlformats.org/officeDocument/2006/relationships/hyperlink" Target="https://www.vozpopuli.com/espana/begona-gomez-plataforma-catedra-antes-complutense.html" TargetMode="External"/><Relationship Id="rId7" Type="http://schemas.openxmlformats.org/officeDocument/2006/relationships/hyperlink" Target="https://e-revistas.uc3m.es/index.php/EUNOM/es/article/download/2247/1193/1912" TargetMode="External"/><Relationship Id="rId12" Type="http://schemas.openxmlformats.org/officeDocument/2006/relationships/hyperlink" Target="https://www.bbc.com/mundo/articles/c5y7v2ydqqno" TargetMode="External"/><Relationship Id="rId17" Type="http://schemas.openxmlformats.org/officeDocument/2006/relationships/hyperlink" Target="https://www.rtve.es/noticias/20260619/juez-peinado-pieza-caso-begona-gomez-barrabes-prevaricacion-fraude/17122701.shtml" TargetMode="External"/><Relationship Id="rId25" Type="http://schemas.openxmlformats.org/officeDocument/2006/relationships/hyperlink" Target="https://www.elespanol.com/invertia/empresas/20260629/agendas-cloacas-psoe-ponen-duda-rescates-sepi-ayudas-publicas-millones/1003744301112_0.html" TargetMode="External"/><Relationship Id="rId33" Type="http://schemas.openxmlformats.org/officeDocument/2006/relationships/hyperlink" Target="https://www.rtve.es/noticias/20260619/juez-peinado-pieza-caso-begona-gomez-barrabes-prevaricacion-fraude/17122701.shtml" TargetMode="External"/><Relationship Id="rId2" Type="http://schemas.openxmlformats.org/officeDocument/2006/relationships/styles" Target="styles.xml"/><Relationship Id="rId16" Type="http://schemas.openxmlformats.org/officeDocument/2006/relationships/hyperlink" Target="http://Red.es" TargetMode="External"/><Relationship Id="rId20" Type="http://schemas.openxmlformats.org/officeDocument/2006/relationships/hyperlink" Target="https://www.vozpopuli.com/espana/begona-gomez-plataforma-catedra-antes-complutense.html" TargetMode="External"/><Relationship Id="rId29" Type="http://schemas.openxmlformats.org/officeDocument/2006/relationships/hyperlink" Target="https://elpais.com/espana/2026-04-19/un-master-una-asesora-y-dos-cartas-diseccionando-el-caso-begona.html" TargetMode="External"/><Relationship Id="rId1" Type="http://schemas.openxmlformats.org/officeDocument/2006/relationships/numbering" Target="numbering.xml"/><Relationship Id="rId6" Type="http://schemas.openxmlformats.org/officeDocument/2006/relationships/hyperlink" Target="https://www.conceptosjuridicos.com/trafico-de-influencias/" TargetMode="External"/><Relationship Id="rId11" Type="http://schemas.openxmlformats.org/officeDocument/2006/relationships/hyperlink" Target="https://www.elplural.com/sociedad/tribunales/juez-situa-zapatero-lider-escructura-jerarquizada-obtener-beneficios-economicos-plus-ultra_390466102" TargetMode="External"/><Relationship Id="rId24" Type="http://schemas.openxmlformats.org/officeDocument/2006/relationships/hyperlink" Target="http://Red.es" TargetMode="External"/><Relationship Id="rId32" Type="http://schemas.openxmlformats.org/officeDocument/2006/relationships/hyperlink" Target="https://www.bbc.com/mundo/articles/c5y7v2ydqqno"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rtve.es/noticias/20251006/begona-gomez-causa-juez-jurado-popular/16757997.shtml" TargetMode="External"/><Relationship Id="rId23" Type="http://schemas.openxmlformats.org/officeDocument/2006/relationships/hyperlink" Target="http://Red.es" TargetMode="External"/><Relationship Id="rId28" Type="http://schemas.openxmlformats.org/officeDocument/2006/relationships/hyperlink" Target="https://www.infobae.com/espana/2026/06/17/sigue-la-declaracion-de-zapatero-en-la-audiencia-nacional-como-imputado-en-el-caso-plus-ultra-en-directo-ultima-hora-del-expresidente-del-gobierno/" TargetMode="External"/><Relationship Id="rId36" Type="http://schemas.openxmlformats.org/officeDocument/2006/relationships/fontTable" Target="fontTable.xml"/><Relationship Id="rId10" Type="http://schemas.openxmlformats.org/officeDocument/2006/relationships/hyperlink" Target="https://www.lavozdegalicia.es/noticia/espana/2026/05/22/juez-abre-pieza-separada-plus-ultra-presunto-trafico-influencias/00031779446493909949969.htm" TargetMode="External"/><Relationship Id="rId19" Type="http://schemas.openxmlformats.org/officeDocument/2006/relationships/hyperlink" Target="https://www.rtve.es/noticias/20251006/begona-gomez-causa-juez-jurado-popular/16757997.shtml" TargetMode="External"/><Relationship Id="rId31" Type="http://schemas.openxmlformats.org/officeDocument/2006/relationships/hyperlink" Target="https://www.lavozdegalicia.es/noticia/espana/2026/05/22/juez-abre-pieza-separada-plus-ultra-presunto-trafico-influencias/00031779446493909949969.htm" TargetMode="External"/><Relationship Id="rId4" Type="http://schemas.openxmlformats.org/officeDocument/2006/relationships/webSettings" Target="webSettings.xml"/><Relationship Id="rId9" Type="http://schemas.openxmlformats.org/officeDocument/2006/relationships/hyperlink" Target="https://www.infobae.com/espana/2026/06/17/sigue-la-declaracion-de-zapatero-en-la-audiencia-nacional-como-imputado-en-el-caso-plus-ultra-en-directo-ultima-hora-del-expresidente-del-gobierno/" TargetMode="External"/><Relationship Id="rId14" Type="http://schemas.openxmlformats.org/officeDocument/2006/relationships/hyperlink" Target="https://elpais.com/espana/2026-06-20/peinado-abre-juicio-oral-a-begona-gomez-y-le-retira-el-pasaporte.html" TargetMode="External"/><Relationship Id="rId22" Type="http://schemas.openxmlformats.org/officeDocument/2006/relationships/hyperlink" Target="http://transformatsc.org" TargetMode="External"/><Relationship Id="rId27" Type="http://schemas.openxmlformats.org/officeDocument/2006/relationships/hyperlink" Target="https://www.elplural.com/sociedad/tribunales/juez-situa-zapatero-lider-escructura-jerarquizada-obtener-beneficios-economicos-plus-ultra_390466102" TargetMode="External"/><Relationship Id="rId30" Type="http://schemas.openxmlformats.org/officeDocument/2006/relationships/hyperlink" Target="https://www.elespanol.com/invertia/empresas/20260629/agendas-cloacas-psoe-ponen-duda-rescates-sepi-ayudas-publicas-millones/1003744301112_0.html" TargetMode="External"/><Relationship Id="rId35" Type="http://schemas.openxmlformats.org/officeDocument/2006/relationships/hyperlink" Target="https://www.conceptosjuridicos.com/trafico-de-influencias/" TargetMode="External"/><Relationship Id="rId8" Type="http://schemas.openxmlformats.org/officeDocument/2006/relationships/hyperlink" Target="https://www.infobae.com/espana/2026/06/17/sigue-la-declaracion-de-zapatero-en-la-audiencia-nacional-como-imputado-en-el-caso-plus-ultra-en-directo-ultima-hora-del-expresidente-del-gobierno/"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5709</Words>
  <Characters>31404</Characters>
  <Application>Microsoft Office Word</Application>
  <DocSecurity>0</DocSecurity>
  <Lines>261</Lines>
  <Paragraphs>74</Paragraphs>
  <ScaleCrop>false</ScaleCrop>
  <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Buedo García</dc:creator>
  <cp:keywords/>
  <dc:description/>
  <cp:lastModifiedBy>Juan Andrés Buedo García</cp:lastModifiedBy>
  <cp:revision>1</cp:revision>
  <dcterms:created xsi:type="dcterms:W3CDTF">2026-07-02T16:52:00Z</dcterms:created>
  <dcterms:modified xsi:type="dcterms:W3CDTF">2026-07-02T16:55:00Z</dcterms:modified>
</cp:coreProperties>
</file>